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EDF4" w14:textId="77777777" w:rsidR="00131A8E" w:rsidRDefault="00000000">
      <w:pPr>
        <w:keepNext/>
        <w:spacing w:after="40" w:line="276" w:lineRule="auto"/>
        <w:jc w:val="center"/>
      </w:pPr>
      <w:r>
        <w:rPr>
          <w:rFonts w:ascii="Arial" w:eastAsia="Arial" w:hAnsi="Arial" w:cs="Arial"/>
          <w:b/>
          <w:bCs/>
          <w:color w:val="1F4E79"/>
          <w:sz w:val="32"/>
          <w:szCs w:val="32"/>
        </w:rPr>
        <w:t>BELLA KITCHEN, BATH &amp; FLOORING, INC.</w:t>
      </w:r>
    </w:p>
    <w:p w14:paraId="52A1953D" w14:textId="77777777" w:rsidR="00131A8E" w:rsidRDefault="00000000">
      <w:pPr>
        <w:spacing w:after="20" w:line="276" w:lineRule="auto"/>
        <w:jc w:val="center"/>
      </w:pPr>
      <w:r>
        <w:rPr>
          <w:color w:val="666666"/>
          <w:sz w:val="20"/>
          <w:szCs w:val="20"/>
        </w:rPr>
        <w:t>24166 Alicia Parkway, Mission Viejo, CA 92691</w:t>
      </w:r>
    </w:p>
    <w:p w14:paraId="1BE718B5" w14:textId="77777777" w:rsidR="00131A8E" w:rsidRDefault="00000000">
      <w:pPr>
        <w:spacing w:after="20" w:line="276" w:lineRule="auto"/>
        <w:jc w:val="center"/>
      </w:pPr>
      <w:r>
        <w:rPr>
          <w:color w:val="666666"/>
          <w:sz w:val="20"/>
          <w:szCs w:val="20"/>
        </w:rPr>
        <w:t>Tel: (949) 597-8453  |  info@bellaknb.com  |  CSLB License #1120002</w:t>
      </w:r>
    </w:p>
    <w:p w14:paraId="0BAB9F8A" w14:textId="77777777" w:rsidR="00131A8E" w:rsidRDefault="00000000">
      <w:pPr>
        <w:spacing w:after="40" w:line="276" w:lineRule="auto"/>
        <w:jc w:val="center"/>
      </w:pPr>
      <w:r>
        <w:rPr>
          <w:color w:val="666666"/>
          <w:sz w:val="20"/>
          <w:szCs w:val="20"/>
        </w:rPr>
        <w:t>www.bellakitchenbathflooring.com</w:t>
      </w:r>
    </w:p>
    <w:p w14:paraId="5214250F" w14:textId="77777777" w:rsidR="00131A8E" w:rsidRDefault="00131A8E">
      <w:pPr>
        <w:pBdr>
          <w:bottom w:val="single" w:sz="6" w:space="1" w:color="1F4E79"/>
        </w:pBdr>
        <w:spacing w:after="300" w:line="276" w:lineRule="auto"/>
      </w:pPr>
    </w:p>
    <w:p w14:paraId="69DE8591" w14:textId="77777777" w:rsidR="00131A8E" w:rsidRDefault="00000000">
      <w:pPr>
        <w:keepNext/>
        <w:spacing w:after="60" w:line="276" w:lineRule="auto"/>
      </w:pPr>
      <w:r>
        <w:rPr>
          <w:b/>
          <w:bCs/>
          <w:color w:val="1A1A1A"/>
        </w:rPr>
        <w:t>March 30, 2026</w:t>
      </w:r>
    </w:p>
    <w:p w14:paraId="18B6F2B4" w14:textId="77777777" w:rsidR="00131A8E" w:rsidRDefault="00131A8E">
      <w:pPr>
        <w:spacing w:after="40" w:line="276" w:lineRule="auto"/>
      </w:pPr>
    </w:p>
    <w:p w14:paraId="3D89B3DD" w14:textId="77777777" w:rsidR="00131A8E" w:rsidRDefault="00000000">
      <w:pPr>
        <w:keepNext/>
        <w:spacing w:after="60" w:line="276" w:lineRule="auto"/>
      </w:pPr>
      <w:r>
        <w:rPr>
          <w:b/>
          <w:bCs/>
          <w:color w:val="8B0000"/>
          <w:sz w:val="22"/>
          <w:szCs w:val="22"/>
        </w:rPr>
        <w:t>VIA CERTIFIED MAIL — RETURN RECEIPT REQUESTED</w:t>
      </w:r>
    </w:p>
    <w:p w14:paraId="66C60245" w14:textId="77777777" w:rsidR="00131A8E" w:rsidRDefault="00000000">
      <w:pPr>
        <w:keepNext/>
        <w:spacing w:after="200" w:line="276" w:lineRule="auto"/>
      </w:pPr>
      <w:r>
        <w:rPr>
          <w:b/>
          <w:bCs/>
          <w:color w:val="1A1A1A"/>
        </w:rPr>
        <w:t>AND FIRST-CLASS MAIL</w:t>
      </w:r>
    </w:p>
    <w:p w14:paraId="5551FADD" w14:textId="77777777" w:rsidR="00131A8E" w:rsidRDefault="00000000">
      <w:pPr>
        <w:spacing w:after="20" w:line="276" w:lineRule="auto"/>
      </w:pPr>
      <w:r>
        <w:rPr>
          <w:color w:val="1A1A1A"/>
        </w:rPr>
        <w:t>Kelly E. Allen</w:t>
      </w:r>
    </w:p>
    <w:p w14:paraId="4511DC68" w14:textId="77777777" w:rsidR="00131A8E" w:rsidRDefault="00000000">
      <w:pPr>
        <w:spacing w:after="20" w:line="276" w:lineRule="auto"/>
      </w:pPr>
      <w:r>
        <w:rPr>
          <w:color w:val="1A1A1A"/>
        </w:rPr>
        <w:t>25191 Sea Vista Drive</w:t>
      </w:r>
    </w:p>
    <w:p w14:paraId="59415FBD" w14:textId="77777777" w:rsidR="00131A8E" w:rsidRDefault="00000000">
      <w:pPr>
        <w:spacing w:after="200" w:line="276" w:lineRule="auto"/>
      </w:pPr>
      <w:r>
        <w:rPr>
          <w:color w:val="1A1A1A"/>
        </w:rPr>
        <w:t>Dana Point, CA 92629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131A8E" w14:paraId="0CAFEA4E" w14:textId="77777777">
        <w:tblPrEx>
          <w:tblCellMar>
            <w:top w:w="0" w:type="dxa"/>
            <w:bottom w:w="0" w:type="dxa"/>
          </w:tblCellMar>
        </w:tblPrEx>
        <w:tc>
          <w:tcPr>
            <w:tcW w:w="1800" w:type="dxa"/>
            <w:tcMar>
              <w:top w:w="60" w:type="dxa"/>
              <w:left w:w="100" w:type="dxa"/>
              <w:bottom w:w="60" w:type="dxa"/>
              <w:right w:w="100" w:type="dxa"/>
            </w:tcMar>
          </w:tcPr>
          <w:p w14:paraId="3C02CD52" w14:textId="77777777" w:rsidR="00131A8E" w:rsidRDefault="00000000">
            <w:pPr>
              <w:spacing w:line="276" w:lineRule="auto"/>
            </w:pPr>
            <w:r>
              <w:rPr>
                <w:b/>
                <w:bCs/>
                <w:color w:val="1A1A1A"/>
                <w:sz w:val="22"/>
                <w:szCs w:val="22"/>
              </w:rPr>
              <w:t>RE:</w:t>
            </w:r>
          </w:p>
        </w:tc>
        <w:tc>
          <w:tcPr>
            <w:tcW w:w="7560" w:type="dxa"/>
            <w:tcMar>
              <w:top w:w="60" w:type="dxa"/>
              <w:left w:w="100" w:type="dxa"/>
              <w:bottom w:w="60" w:type="dxa"/>
              <w:right w:w="100" w:type="dxa"/>
            </w:tcMar>
          </w:tcPr>
          <w:p w14:paraId="528B9FB3" w14:textId="77777777" w:rsidR="00131A8E" w:rsidRDefault="00000000">
            <w:pPr>
              <w:spacing w:after="40" w:line="276" w:lineRule="auto"/>
            </w:pPr>
            <w:r>
              <w:rPr>
                <w:b/>
                <w:bCs/>
                <w:color w:val="1A1A1A"/>
                <w:sz w:val="20"/>
              </w:rPr>
              <w:t>FORMAL DEMAND FOR PAYMENT — FINAL NOTICE BEFORE LITIGATION</w:t>
            </w:r>
          </w:p>
          <w:p w14:paraId="517A78DB" w14:textId="77777777" w:rsidR="00131A8E" w:rsidRDefault="00000000">
            <w:pPr>
              <w:spacing w:after="40" w:line="276" w:lineRule="auto"/>
            </w:pPr>
            <w:r>
              <w:rPr>
                <w:b/>
                <w:i/>
                <w:iCs/>
                <w:color w:val="1A1A1A"/>
                <w:sz w:val="20"/>
              </w:rPr>
              <w:t>Bella Kitchen, Bath &amp; Flooring, Inc. v. Kelly E. Allen</w:t>
            </w:r>
          </w:p>
          <w:p w14:paraId="627B59CD" w14:textId="77777777" w:rsidR="00131A8E" w:rsidRDefault="00000000">
            <w:pPr>
              <w:spacing w:after="40" w:line="276" w:lineRule="auto"/>
            </w:pPr>
            <w:r>
              <w:rPr>
                <w:b/>
                <w:color w:val="1A1A1A"/>
                <w:sz w:val="20"/>
              </w:rPr>
              <w:t>Property: 25191 Sea Vista Drive, Dana Point, CA 92629</w:t>
            </w:r>
          </w:p>
          <w:p w14:paraId="3130EB0F" w14:textId="77777777" w:rsidR="00131A8E" w:rsidRDefault="00000000">
            <w:pPr>
              <w:spacing w:after="40" w:line="276" w:lineRule="auto"/>
            </w:pPr>
            <w:r>
              <w:rPr>
                <w:b/>
                <w:color w:val="1A1A1A"/>
                <w:sz w:val="20"/>
              </w:rPr>
              <w:t>Invoice #33217 — Outdoor Hardscape, Pavers, Tile &amp; Infrastructure</w:t>
            </w:r>
          </w:p>
          <w:p w14:paraId="3CB67345" w14:textId="77777777" w:rsidR="00131A8E" w:rsidRDefault="00000000">
            <w:pPr>
              <w:spacing w:after="40" w:line="276" w:lineRule="auto"/>
            </w:pPr>
            <w:r>
              <w:rPr>
                <w:b/>
                <w:bCs/>
                <w:color w:val="8B0000"/>
                <w:sz w:val="20"/>
              </w:rPr>
              <w:t>Amount Due: $47,613.80 plus accrued interest</w:t>
            </w:r>
          </w:p>
          <w:p w14:paraId="3E70E938" w14:textId="77777777" w:rsidR="00131A8E" w:rsidRDefault="00000000">
            <w:pPr>
              <w:spacing w:line="276" w:lineRule="auto"/>
            </w:pPr>
            <w:r>
              <w:rPr>
                <w:b/>
                <w:color w:val="1A1A1A"/>
                <w:sz w:val="20"/>
              </w:rPr>
              <w:t>Mechanics’ Lien Recorded: February 23, 2026, Orange County Official Records</w:t>
            </w:r>
          </w:p>
        </w:tc>
      </w:tr>
    </w:tbl>
    <w:p w14:paraId="53BC6776" w14:textId="77777777" w:rsidR="00131A8E" w:rsidRDefault="00131A8E">
      <w:pPr>
        <w:spacing w:after="200" w:line="276" w:lineRule="auto"/>
      </w:pPr>
    </w:p>
    <w:p w14:paraId="7DD9EB63" w14:textId="77777777" w:rsidR="00131A8E" w:rsidRDefault="00000000">
      <w:pPr>
        <w:spacing w:after="200" w:line="276" w:lineRule="auto"/>
      </w:pPr>
      <w:r>
        <w:rPr>
          <w:color w:val="1A1A1A"/>
        </w:rPr>
        <w:t>Dear Mr. Allen:</w:t>
      </w:r>
    </w:p>
    <w:p w14:paraId="2C2826C8" w14:textId="77777777" w:rsidR="00131A8E" w:rsidRDefault="00000000">
      <w:pPr>
        <w:pStyle w:val="Heading1"/>
        <w:spacing w:line="276" w:lineRule="auto"/>
      </w:pPr>
      <w:r>
        <w:t>PART I: DEMAND FOR PAYMENT AND OPPORTUNITY TO RESOLVE</w:t>
      </w:r>
    </w:p>
    <w:p w14:paraId="1B649D33" w14:textId="77777777" w:rsidR="00131A8E" w:rsidRDefault="00000000">
      <w:pPr>
        <w:spacing w:after="200" w:line="276" w:lineRule="auto"/>
      </w:pPr>
      <w:r>
        <w:rPr>
          <w:color w:val="1A1A1A"/>
        </w:rPr>
        <w:t xml:space="preserve">This letter constitutes a formal, final demand for payment of </w:t>
      </w:r>
      <w:r>
        <w:rPr>
          <w:b/>
          <w:bCs/>
          <w:color w:val="1A1A1A"/>
        </w:rPr>
        <w:t>$47,613.80</w:t>
      </w:r>
      <w:r>
        <w:rPr>
          <w:color w:val="1A1A1A"/>
        </w:rPr>
        <w:t>, plus accrued statutory interest, owed by you to Bella Kitchen, Bath &amp; Flooring, Inc. (“Bella Kitchen”) for labor, materials, equipment, and services furnished for the improvement of your real property located at 25191 Sea Vista Drive, Dana Point, California 92629. This demand is made pursuant to California Civil Code Sections 8000–8848, Civil Code Section 3289, and related provisions of California law.</w:t>
      </w:r>
    </w:p>
    <w:p w14:paraId="7DEF7F7F" w14:textId="77777777" w:rsidR="00131A8E" w:rsidRDefault="00000000">
      <w:pPr>
        <w:spacing w:after="200" w:line="276" w:lineRule="auto"/>
      </w:pPr>
      <w:r>
        <w:rPr>
          <w:color w:val="1A1A1A"/>
        </w:rPr>
        <w:t xml:space="preserve">A Mechanics’ Lien Claim was recorded against your property on </w:t>
      </w:r>
      <w:r>
        <w:rPr>
          <w:b/>
          <w:bCs/>
          <w:color w:val="1A1A1A"/>
        </w:rPr>
        <w:t>February 23, 2026</w:t>
      </w:r>
      <w:r>
        <w:rPr>
          <w:color w:val="1A1A1A"/>
        </w:rPr>
        <w:t xml:space="preserve">, in the Official Records of Orange County, California, as authorized by California Civil Code Section 8416. This lien secures Bella Kitchen’s claim for the full outstanding balance and constitutes a cloud on your title that will </w:t>
      </w:r>
      <w:r>
        <w:rPr>
          <w:b/>
          <w:bCs/>
          <w:color w:val="1A1A1A"/>
        </w:rPr>
        <w:t>prevent you from selling, refinancing, or borrowing against your property</w:t>
      </w:r>
      <w:r>
        <w:rPr>
          <w:color w:val="1A1A1A"/>
        </w:rPr>
        <w:t xml:space="preserve"> until it is resolved.</w:t>
      </w:r>
    </w:p>
    <w:p w14:paraId="67FB2066" w14:textId="77777777" w:rsidR="00131A8E" w:rsidRDefault="00000000">
      <w:pPr>
        <w:pStyle w:val="Heading2"/>
        <w:spacing w:before="360" w:after="200" w:line="276" w:lineRule="auto"/>
      </w:pPr>
      <w:r>
        <w:lastRenderedPageBreak/>
        <w:t>A. Summary of Work Performed and Amounts Owed</w:t>
      </w:r>
    </w:p>
    <w:p w14:paraId="2816CD3C" w14:textId="77777777" w:rsidR="00131A8E" w:rsidRDefault="00000000">
      <w:pPr>
        <w:spacing w:after="200" w:line="276" w:lineRule="auto"/>
      </w:pPr>
      <w:r>
        <w:rPr>
          <w:color w:val="1A1A1A"/>
        </w:rPr>
        <w:t>Bella Kitchen entered into a contract with you for extensive outdoor construction improvements to your Dana Point residence, encompassing hardscape installation, paver and tile work, underground infrastructure systems, and related construction services. Work commenced on or about July 28, 2025, and the project involved the following major scope categories: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3560"/>
      </w:tblGrid>
      <w:tr w:rsidR="00131A8E" w14:paraId="0CC42E0F"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0DCC4B05" w14:textId="77777777" w:rsidR="00131A8E" w:rsidRDefault="00000000">
            <w:pPr>
              <w:spacing w:line="276" w:lineRule="auto"/>
            </w:pPr>
            <w:r>
              <w:rPr>
                <w:b/>
                <w:bCs/>
                <w:color w:val="1A1A1A"/>
                <w:sz w:val="22"/>
                <w:szCs w:val="22"/>
              </w:rPr>
              <w:t>Work Category</w:t>
            </w:r>
          </w:p>
        </w:tc>
        <w:tc>
          <w:tcPr>
            <w:tcW w:w="35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7166B895" w14:textId="77777777" w:rsidR="00131A8E" w:rsidRDefault="00000000">
            <w:pPr>
              <w:spacing w:line="276" w:lineRule="auto"/>
              <w:jc w:val="center"/>
            </w:pPr>
            <w:r>
              <w:rPr>
                <w:b/>
                <w:bCs/>
                <w:color w:val="1A1A1A"/>
                <w:sz w:val="22"/>
                <w:szCs w:val="22"/>
              </w:rPr>
              <w:t>Scope</w:t>
            </w:r>
          </w:p>
        </w:tc>
      </w:tr>
      <w:tr w:rsidR="00131A8E" w14:paraId="2A8EB5ED"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27A793" w14:textId="77777777" w:rsidR="00131A8E" w:rsidRDefault="00000000">
            <w:pPr>
              <w:spacing w:line="276" w:lineRule="auto"/>
            </w:pPr>
            <w:r>
              <w:rPr>
                <w:color w:val="1A1A1A"/>
                <w:sz w:val="22"/>
                <w:szCs w:val="22"/>
              </w:rPr>
              <w:t>Soil compaction, site preparation, debris removal</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54A019" w14:textId="77777777" w:rsidR="00131A8E" w:rsidRDefault="00000000">
            <w:pPr>
              <w:spacing w:line="276" w:lineRule="auto"/>
              <w:jc w:val="center"/>
            </w:pPr>
            <w:r>
              <w:rPr>
                <w:color w:val="1A1A1A"/>
                <w:sz w:val="22"/>
                <w:szCs w:val="22"/>
              </w:rPr>
              <w:t>Full property</w:t>
            </w:r>
          </w:p>
        </w:tc>
      </w:tr>
      <w:tr w:rsidR="00131A8E" w14:paraId="2206B01A"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E60C94" w14:textId="77777777" w:rsidR="00131A8E" w:rsidRDefault="00000000">
            <w:pPr>
              <w:spacing w:line="276" w:lineRule="auto"/>
            </w:pPr>
            <w:r>
              <w:rPr>
                <w:color w:val="1A1A1A"/>
                <w:sz w:val="22"/>
                <w:szCs w:val="22"/>
              </w:rPr>
              <w:t>Underground drainage systems and linear drains</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7D6E8B" w14:textId="77777777" w:rsidR="00131A8E" w:rsidRDefault="00000000">
            <w:pPr>
              <w:spacing w:line="276" w:lineRule="auto"/>
              <w:jc w:val="center"/>
            </w:pPr>
            <w:r>
              <w:rPr>
                <w:color w:val="1A1A1A"/>
                <w:sz w:val="22"/>
                <w:szCs w:val="22"/>
              </w:rPr>
              <w:t>Lower and upper sections</w:t>
            </w:r>
          </w:p>
        </w:tc>
      </w:tr>
      <w:tr w:rsidR="00131A8E" w14:paraId="3160D11E"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9E949B" w14:textId="77777777" w:rsidR="00131A8E" w:rsidRDefault="00000000">
            <w:pPr>
              <w:spacing w:line="276" w:lineRule="auto"/>
            </w:pPr>
            <w:r>
              <w:rPr>
                <w:color w:val="1A1A1A"/>
                <w:sz w:val="22"/>
                <w:szCs w:val="22"/>
              </w:rPr>
              <w:t>Underground gas lines (including fire pit)</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B8033B" w14:textId="77777777" w:rsidR="00131A8E" w:rsidRDefault="00000000">
            <w:pPr>
              <w:spacing w:line="276" w:lineRule="auto"/>
              <w:jc w:val="center"/>
            </w:pPr>
            <w:r>
              <w:rPr>
                <w:color w:val="1A1A1A"/>
                <w:sz w:val="22"/>
                <w:szCs w:val="22"/>
              </w:rPr>
              <w:t>Multiple locations</w:t>
            </w:r>
          </w:p>
        </w:tc>
      </w:tr>
      <w:tr w:rsidR="00131A8E" w14:paraId="4866CCE5"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4327D7" w14:textId="77777777" w:rsidR="00131A8E" w:rsidRDefault="00000000">
            <w:pPr>
              <w:spacing w:line="276" w:lineRule="auto"/>
            </w:pPr>
            <w:r>
              <w:rPr>
                <w:color w:val="1A1A1A"/>
                <w:sz w:val="22"/>
                <w:szCs w:val="22"/>
              </w:rPr>
              <w:t>Underground electrical conduits for lighting</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5C48EF" w14:textId="77777777" w:rsidR="00131A8E" w:rsidRDefault="00000000">
            <w:pPr>
              <w:spacing w:line="276" w:lineRule="auto"/>
              <w:jc w:val="center"/>
            </w:pPr>
            <w:r>
              <w:rPr>
                <w:color w:val="1A1A1A"/>
                <w:sz w:val="22"/>
                <w:szCs w:val="22"/>
              </w:rPr>
              <w:t>Property-wide</w:t>
            </w:r>
          </w:p>
        </w:tc>
      </w:tr>
      <w:tr w:rsidR="00131A8E" w14:paraId="30EE094F"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CF3F64" w14:textId="77777777" w:rsidR="00131A8E" w:rsidRDefault="00000000">
            <w:pPr>
              <w:spacing w:line="276" w:lineRule="auto"/>
            </w:pPr>
            <w:r>
              <w:rPr>
                <w:color w:val="1A1A1A"/>
                <w:sz w:val="22"/>
                <w:szCs w:val="22"/>
              </w:rPr>
              <w:t>Irrigation/sprinkler system water lines</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BF9CC4" w14:textId="77777777" w:rsidR="00131A8E" w:rsidRDefault="00000000">
            <w:pPr>
              <w:spacing w:line="276" w:lineRule="auto"/>
              <w:jc w:val="center"/>
            </w:pPr>
            <w:r>
              <w:rPr>
                <w:color w:val="1A1A1A"/>
                <w:sz w:val="22"/>
                <w:szCs w:val="22"/>
              </w:rPr>
              <w:t>Property-wide</w:t>
            </w:r>
          </w:p>
        </w:tc>
      </w:tr>
      <w:tr w:rsidR="00131A8E" w14:paraId="1C6258D9"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E7EA26" w14:textId="77777777" w:rsidR="00131A8E" w:rsidRDefault="00000000">
            <w:pPr>
              <w:spacing w:line="276" w:lineRule="auto"/>
            </w:pPr>
            <w:r>
              <w:rPr>
                <w:color w:val="1A1A1A"/>
                <w:sz w:val="22"/>
                <w:szCs w:val="22"/>
              </w:rPr>
              <w:t>Plumbing for outdoor shower (inside wall structure)</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0E9475" w14:textId="77777777" w:rsidR="00131A8E" w:rsidRDefault="00000000">
            <w:pPr>
              <w:spacing w:line="276" w:lineRule="auto"/>
              <w:jc w:val="center"/>
            </w:pPr>
            <w:r>
              <w:rPr>
                <w:color w:val="1A1A1A"/>
                <w:sz w:val="22"/>
                <w:szCs w:val="22"/>
              </w:rPr>
              <w:t>Outdoor shower area</w:t>
            </w:r>
          </w:p>
        </w:tc>
      </w:tr>
      <w:tr w:rsidR="00131A8E" w14:paraId="69C64DDF"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F7388E" w14:textId="77777777" w:rsidR="00131A8E" w:rsidRDefault="00000000">
            <w:pPr>
              <w:spacing w:line="276" w:lineRule="auto"/>
            </w:pPr>
            <w:r>
              <w:rPr>
                <w:color w:val="1A1A1A"/>
                <w:sz w:val="22"/>
                <w:szCs w:val="22"/>
              </w:rPr>
              <w:t>IT contractor trench excavation</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414A25" w14:textId="77777777" w:rsidR="00131A8E" w:rsidRDefault="00000000">
            <w:pPr>
              <w:spacing w:line="276" w:lineRule="auto"/>
              <w:jc w:val="center"/>
            </w:pPr>
            <w:r>
              <w:rPr>
                <w:color w:val="1A1A1A"/>
                <w:sz w:val="22"/>
                <w:szCs w:val="22"/>
              </w:rPr>
              <w:t>Per owner request</w:t>
            </w:r>
          </w:p>
        </w:tc>
      </w:tr>
      <w:tr w:rsidR="00131A8E" w14:paraId="115071EE"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A65B72" w14:textId="77777777" w:rsidR="00131A8E" w:rsidRDefault="00000000">
            <w:pPr>
              <w:spacing w:line="276" w:lineRule="auto"/>
            </w:pPr>
            <w:r>
              <w:rPr>
                <w:color w:val="1A1A1A"/>
                <w:sz w:val="22"/>
                <w:szCs w:val="22"/>
              </w:rPr>
              <w:t>24" x 24" black paver installation (~700 sq. ft.)</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0F12C9" w14:textId="77777777" w:rsidR="00131A8E" w:rsidRDefault="00000000">
            <w:pPr>
              <w:spacing w:line="276" w:lineRule="auto"/>
              <w:jc w:val="center"/>
            </w:pPr>
            <w:r>
              <w:rPr>
                <w:color w:val="1A1A1A"/>
                <w:sz w:val="22"/>
                <w:szCs w:val="22"/>
              </w:rPr>
              <w:t>Lower section</w:t>
            </w:r>
          </w:p>
        </w:tc>
      </w:tr>
      <w:tr w:rsidR="00131A8E" w14:paraId="54F0DC12"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2F60D2" w14:textId="77777777" w:rsidR="00131A8E" w:rsidRDefault="00000000">
            <w:pPr>
              <w:spacing w:line="276" w:lineRule="auto"/>
            </w:pPr>
            <w:r>
              <w:rPr>
                <w:color w:val="1A1A1A"/>
                <w:sz w:val="22"/>
                <w:szCs w:val="22"/>
              </w:rPr>
              <w:t>Artificial turf rows between pavers</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A23C51" w14:textId="77777777" w:rsidR="00131A8E" w:rsidRDefault="00000000">
            <w:pPr>
              <w:spacing w:line="276" w:lineRule="auto"/>
              <w:jc w:val="center"/>
            </w:pPr>
            <w:r>
              <w:rPr>
                <w:color w:val="1A1A1A"/>
                <w:sz w:val="22"/>
                <w:szCs w:val="22"/>
              </w:rPr>
              <w:t>Lower section (added scope)</w:t>
            </w:r>
          </w:p>
        </w:tc>
      </w:tr>
      <w:tr w:rsidR="00131A8E" w14:paraId="6AFCECD2"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3786EA" w14:textId="77777777" w:rsidR="00131A8E" w:rsidRDefault="00000000">
            <w:pPr>
              <w:spacing w:line="276" w:lineRule="auto"/>
            </w:pPr>
            <w:r>
              <w:rPr>
                <w:color w:val="1A1A1A"/>
                <w:sz w:val="22"/>
                <w:szCs w:val="22"/>
              </w:rPr>
              <w:t>48" x 48" large-format tile installation</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3F99D2" w14:textId="77777777" w:rsidR="00131A8E" w:rsidRDefault="00000000">
            <w:pPr>
              <w:spacing w:line="276" w:lineRule="auto"/>
              <w:jc w:val="center"/>
            </w:pPr>
            <w:r>
              <w:rPr>
                <w:color w:val="1A1A1A"/>
                <w:sz w:val="22"/>
                <w:szCs w:val="22"/>
              </w:rPr>
              <w:t>Upper section</w:t>
            </w:r>
          </w:p>
        </w:tc>
      </w:tr>
      <w:tr w:rsidR="00131A8E" w14:paraId="088A56A9"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1624D6" w14:textId="77777777" w:rsidR="00131A8E" w:rsidRDefault="00000000">
            <w:pPr>
              <w:spacing w:line="276" w:lineRule="auto"/>
            </w:pPr>
            <w:r>
              <w:rPr>
                <w:color w:val="1A1A1A"/>
                <w:sz w:val="22"/>
                <w:szCs w:val="22"/>
              </w:rPr>
              <w:t>Large-format tile on 36 staircase steps</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8FD279" w14:textId="77777777" w:rsidR="00131A8E" w:rsidRDefault="00000000">
            <w:pPr>
              <w:spacing w:line="276" w:lineRule="auto"/>
              <w:jc w:val="center"/>
            </w:pPr>
            <w:r>
              <w:rPr>
                <w:color w:val="1A1A1A"/>
                <w:sz w:val="22"/>
                <w:szCs w:val="22"/>
              </w:rPr>
              <w:t>Staircase</w:t>
            </w:r>
          </w:p>
        </w:tc>
      </w:tr>
      <w:tr w:rsidR="00131A8E" w14:paraId="049E7636"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2B37AF" w14:textId="77777777" w:rsidR="00131A8E" w:rsidRDefault="00000000">
            <w:pPr>
              <w:spacing w:line="276" w:lineRule="auto"/>
            </w:pPr>
            <w:r>
              <w:rPr>
                <w:color w:val="1A1A1A"/>
                <w:sz w:val="22"/>
                <w:szCs w:val="22"/>
              </w:rPr>
              <w:t>Drainage sweep along curved wall</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040773" w14:textId="77777777" w:rsidR="00131A8E" w:rsidRDefault="00000000">
            <w:pPr>
              <w:spacing w:line="276" w:lineRule="auto"/>
              <w:jc w:val="center"/>
            </w:pPr>
            <w:r>
              <w:rPr>
                <w:color w:val="1A1A1A"/>
                <w:sz w:val="22"/>
                <w:szCs w:val="22"/>
              </w:rPr>
              <w:t>Wall perimeter</w:t>
            </w:r>
          </w:p>
        </w:tc>
      </w:tr>
      <w:tr w:rsidR="00131A8E" w14:paraId="5A427BEB"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29A845" w14:textId="77777777" w:rsidR="00131A8E" w:rsidRDefault="00000000">
            <w:pPr>
              <w:spacing w:line="276" w:lineRule="auto"/>
            </w:pPr>
            <w:r>
              <w:rPr>
                <w:color w:val="1A1A1A"/>
                <w:sz w:val="22"/>
                <w:szCs w:val="22"/>
              </w:rPr>
              <w:t>Black decorative pebbles, planter soil, debris cleanup</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2930D1" w14:textId="77777777" w:rsidR="00131A8E" w:rsidRDefault="00000000">
            <w:pPr>
              <w:spacing w:line="276" w:lineRule="auto"/>
              <w:jc w:val="center"/>
            </w:pPr>
            <w:r>
              <w:rPr>
                <w:color w:val="1A1A1A"/>
                <w:sz w:val="22"/>
                <w:szCs w:val="22"/>
              </w:rPr>
              <w:t>Multiple areas (added scope)</w:t>
            </w:r>
          </w:p>
        </w:tc>
      </w:tr>
      <w:tr w:rsidR="00131A8E" w14:paraId="3C064041"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98D6D7" w14:textId="77777777" w:rsidR="00131A8E" w:rsidRDefault="00000000">
            <w:pPr>
              <w:spacing w:line="276" w:lineRule="auto"/>
            </w:pPr>
            <w:r>
              <w:rPr>
                <w:color w:val="1A1A1A"/>
                <w:sz w:val="22"/>
                <w:szCs w:val="22"/>
              </w:rPr>
              <w:t>Stucco repair for outdoor shower</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76C23B" w14:textId="77777777" w:rsidR="00131A8E" w:rsidRDefault="00000000">
            <w:pPr>
              <w:spacing w:line="276" w:lineRule="auto"/>
              <w:jc w:val="center"/>
            </w:pPr>
            <w:r>
              <w:rPr>
                <w:color w:val="1A1A1A"/>
                <w:sz w:val="22"/>
                <w:szCs w:val="22"/>
              </w:rPr>
              <w:t>Shower wall area</w:t>
            </w:r>
          </w:p>
        </w:tc>
      </w:tr>
      <w:tr w:rsidR="00131A8E" w14:paraId="62447CBD" w14:textId="77777777">
        <w:tblPrEx>
          <w:tblCellMar>
            <w:top w:w="0" w:type="dxa"/>
            <w:bottom w:w="0" w:type="dxa"/>
          </w:tblCellMar>
        </w:tblPrEx>
        <w:tc>
          <w:tcPr>
            <w:tcW w:w="5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DBC9E4" w14:textId="77777777" w:rsidR="00131A8E" w:rsidRDefault="00000000">
            <w:pPr>
              <w:spacing w:line="276" w:lineRule="auto"/>
            </w:pPr>
            <w:r>
              <w:rPr>
                <w:color w:val="1A1A1A"/>
                <w:sz w:val="22"/>
                <w:szCs w:val="22"/>
              </w:rPr>
              <w:t>Concrete leveling/prep (correcting other contractor’s work)</w:t>
            </w:r>
          </w:p>
        </w:tc>
        <w:tc>
          <w:tcPr>
            <w:tcW w:w="3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DD0638" w14:textId="77777777" w:rsidR="00131A8E" w:rsidRDefault="00000000">
            <w:pPr>
              <w:spacing w:line="276" w:lineRule="auto"/>
              <w:jc w:val="center"/>
            </w:pPr>
            <w:r>
              <w:rPr>
                <w:color w:val="1A1A1A"/>
                <w:sz w:val="22"/>
                <w:szCs w:val="22"/>
              </w:rPr>
              <w:t>Upper section</w:t>
            </w:r>
          </w:p>
        </w:tc>
      </w:tr>
    </w:tbl>
    <w:p w14:paraId="78725C29" w14:textId="77777777" w:rsidR="00131A8E" w:rsidRDefault="00131A8E">
      <w:pPr>
        <w:spacing w:after="100" w:line="276" w:lineRule="auto"/>
      </w:pPr>
    </w:p>
    <w:p w14:paraId="45C01701" w14:textId="77777777" w:rsidR="00CE0C3F" w:rsidRDefault="00CE0C3F">
      <w:pPr>
        <w:rPr>
          <w:rFonts w:ascii="Arial" w:eastAsia="Arial" w:hAnsi="Arial" w:cs="Arial"/>
          <w:b/>
          <w:bCs/>
          <w:color w:val="1F4E79"/>
          <w:sz w:val="26"/>
          <w:szCs w:val="26"/>
        </w:rPr>
      </w:pPr>
      <w:r>
        <w:br w:type="page"/>
      </w:r>
    </w:p>
    <w:p w14:paraId="56469A9D" w14:textId="0887331A" w:rsidR="00131A8E" w:rsidRDefault="00000000">
      <w:pPr>
        <w:pStyle w:val="Heading2"/>
        <w:spacing w:before="360" w:after="200" w:line="276" w:lineRule="auto"/>
      </w:pPr>
      <w:r>
        <w:lastRenderedPageBreak/>
        <w:t>B. Financial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3360"/>
      </w:tblGrid>
      <w:tr w:rsidR="00131A8E" w14:paraId="0D6062D8"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6DA64D54" w14:textId="77777777" w:rsidR="00131A8E" w:rsidRDefault="00000000">
            <w:pPr>
              <w:spacing w:line="276" w:lineRule="auto"/>
            </w:pPr>
            <w:r>
              <w:rPr>
                <w:b/>
                <w:bCs/>
                <w:color w:val="1A1A1A"/>
                <w:sz w:val="22"/>
                <w:szCs w:val="22"/>
              </w:rPr>
              <w:t>Description</w:t>
            </w:r>
          </w:p>
        </w:tc>
        <w:tc>
          <w:tcPr>
            <w:tcW w:w="336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1FF1769F" w14:textId="77777777" w:rsidR="00131A8E" w:rsidRDefault="00000000">
            <w:pPr>
              <w:spacing w:line="276" w:lineRule="auto"/>
              <w:jc w:val="right"/>
            </w:pPr>
            <w:r>
              <w:rPr>
                <w:b/>
                <w:bCs/>
                <w:color w:val="1A1A1A"/>
                <w:sz w:val="22"/>
                <w:szCs w:val="22"/>
              </w:rPr>
              <w:t>Amount</w:t>
            </w:r>
          </w:p>
        </w:tc>
      </w:tr>
      <w:tr w:rsidR="00131A8E" w14:paraId="4BE3D74D"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BCAAF8" w14:textId="77777777" w:rsidR="00131A8E" w:rsidRDefault="00000000">
            <w:pPr>
              <w:spacing w:line="276" w:lineRule="auto"/>
            </w:pPr>
            <w:r>
              <w:rPr>
                <w:color w:val="1A1A1A"/>
                <w:sz w:val="22"/>
                <w:szCs w:val="22"/>
              </w:rPr>
              <w:t>Total project cost (Invoice #33217)</w:t>
            </w:r>
          </w:p>
        </w:tc>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F7D644" w14:textId="77777777" w:rsidR="00131A8E" w:rsidRDefault="00000000">
            <w:pPr>
              <w:spacing w:line="276" w:lineRule="auto"/>
              <w:jc w:val="right"/>
            </w:pPr>
            <w:r>
              <w:rPr>
                <w:color w:val="1A1A1A"/>
                <w:sz w:val="22"/>
                <w:szCs w:val="22"/>
              </w:rPr>
              <w:t>$84,613.80</w:t>
            </w:r>
          </w:p>
        </w:tc>
      </w:tr>
      <w:tr w:rsidR="00131A8E" w14:paraId="1E977643"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C794B0" w14:textId="77777777" w:rsidR="00131A8E" w:rsidRDefault="00000000">
            <w:pPr>
              <w:spacing w:line="276" w:lineRule="auto"/>
            </w:pPr>
            <w:r>
              <w:rPr>
                <w:color w:val="1A1A1A"/>
                <w:sz w:val="22"/>
                <w:szCs w:val="22"/>
              </w:rPr>
              <w:t>Deposit received (July 16, 2025)</w:t>
            </w:r>
          </w:p>
        </w:tc>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A01D79" w14:textId="77777777" w:rsidR="00131A8E" w:rsidRDefault="00000000">
            <w:pPr>
              <w:spacing w:line="276" w:lineRule="auto"/>
              <w:jc w:val="right"/>
            </w:pPr>
            <w:r>
              <w:rPr>
                <w:color w:val="1A1A1A"/>
                <w:sz w:val="22"/>
                <w:szCs w:val="22"/>
              </w:rPr>
              <w:t>($37,000.00)</w:t>
            </w:r>
          </w:p>
        </w:tc>
      </w:tr>
      <w:tr w:rsidR="00131A8E" w14:paraId="53316C3F"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33A0B0DF" w14:textId="77777777" w:rsidR="00131A8E" w:rsidRDefault="00000000">
            <w:pPr>
              <w:spacing w:line="276" w:lineRule="auto"/>
            </w:pPr>
            <w:r>
              <w:rPr>
                <w:b/>
                <w:bCs/>
                <w:color w:val="8B0000"/>
                <w:sz w:val="20"/>
              </w:rPr>
              <w:t>BALANCE DUE</w:t>
            </w:r>
          </w:p>
        </w:tc>
        <w:tc>
          <w:tcPr>
            <w:tcW w:w="336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36AE2E42" w14:textId="77777777" w:rsidR="00131A8E" w:rsidRDefault="00000000">
            <w:pPr>
              <w:spacing w:line="276" w:lineRule="auto"/>
            </w:pPr>
            <w:r>
              <w:rPr>
                <w:b/>
                <w:bCs/>
                <w:color w:val="8B0000"/>
                <w:sz w:val="20"/>
              </w:rPr>
              <w:t>$47,613.80</w:t>
            </w:r>
          </w:p>
        </w:tc>
      </w:tr>
      <w:tr w:rsidR="00131A8E" w14:paraId="0CC72235"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1297A9" w14:textId="77777777" w:rsidR="00131A8E" w:rsidRDefault="00000000">
            <w:pPr>
              <w:spacing w:line="276" w:lineRule="auto"/>
            </w:pPr>
            <w:r>
              <w:rPr>
                <w:color w:val="1A1A1A"/>
                <w:sz w:val="22"/>
                <w:szCs w:val="22"/>
              </w:rPr>
              <w:t>Statutory interest at 10% per annum (Cal. Civ. Code §3289)</w:t>
            </w:r>
          </w:p>
        </w:tc>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510204" w14:textId="77777777" w:rsidR="00131A8E" w:rsidRDefault="00000000">
            <w:pPr>
              <w:spacing w:line="276" w:lineRule="auto"/>
              <w:jc w:val="right"/>
            </w:pPr>
            <w:r>
              <w:rPr>
                <w:color w:val="1A1A1A"/>
                <w:sz w:val="22"/>
                <w:szCs w:val="22"/>
              </w:rPr>
              <w:t>Accruing at $13.04/day</w:t>
            </w:r>
          </w:p>
        </w:tc>
      </w:tr>
      <w:tr w:rsidR="00131A8E" w14:paraId="2226580F" w14:textId="77777777">
        <w:tblPrEx>
          <w:tblCellMar>
            <w:top w:w="0" w:type="dxa"/>
            <w:bottom w:w="0" w:type="dxa"/>
          </w:tblCellMar>
        </w:tblPrEx>
        <w:tc>
          <w:tcPr>
            <w:tcW w:w="6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77FB0F" w14:textId="77777777" w:rsidR="00131A8E" w:rsidRDefault="00000000">
            <w:pPr>
              <w:spacing w:line="276" w:lineRule="auto"/>
            </w:pPr>
            <w:r>
              <w:rPr>
                <w:color w:val="1A1A1A"/>
                <w:sz w:val="22"/>
                <w:szCs w:val="22"/>
              </w:rPr>
              <w:t>Prompt-payment penalty at 2% per month (Cal. Civ. Code §8800)</w:t>
            </w:r>
          </w:p>
        </w:tc>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E743F1" w14:textId="77777777" w:rsidR="00131A8E" w:rsidRDefault="00000000">
            <w:pPr>
              <w:spacing w:line="276" w:lineRule="auto"/>
              <w:jc w:val="right"/>
            </w:pPr>
            <w:r>
              <w:rPr>
                <w:color w:val="1A1A1A"/>
                <w:sz w:val="22"/>
                <w:szCs w:val="22"/>
              </w:rPr>
              <w:t>$952.28/month</w:t>
            </w:r>
          </w:p>
        </w:tc>
      </w:tr>
    </w:tbl>
    <w:p w14:paraId="340CF351" w14:textId="77777777" w:rsidR="00131A8E" w:rsidRDefault="00131A8E">
      <w:pPr>
        <w:spacing w:after="100" w:line="276" w:lineRule="auto"/>
      </w:pPr>
    </w:p>
    <w:p w14:paraId="6FDF4948" w14:textId="77777777" w:rsidR="00131A8E" w:rsidRDefault="00000000">
      <w:pPr>
        <w:spacing w:after="200" w:line="276" w:lineRule="auto"/>
      </w:pPr>
      <w:r>
        <w:rPr>
          <w:color w:val="1A1A1A"/>
        </w:rPr>
        <w:t xml:space="preserve">The project was originally estimated in the range of $75,000 to $85,000, to be performed on a time-and-materials basis. Due to the personal relationship between Bella Kitchen owner Mark Hamilton and you, a </w:t>
      </w:r>
      <w:r>
        <w:rPr>
          <w:b/>
          <w:bCs/>
          <w:color w:val="1A1A1A"/>
        </w:rPr>
        <w:t>“FRIEND” discount</w:t>
      </w:r>
      <w:r>
        <w:rPr>
          <w:color w:val="1A1A1A"/>
        </w:rPr>
        <w:t xml:space="preserve"> was applied, resulting in a final invoice of $84,613.80 — which Bella Kitchen notes would typically cost approximately $102,000 for a project of this scope. The $37,000 deposit was received on July 16, 2025, leaving the current balance of $47,613.80.</w:t>
      </w:r>
    </w:p>
    <w:p w14:paraId="640B4DB5" w14:textId="77777777" w:rsidR="00131A8E" w:rsidRDefault="00000000">
      <w:pPr>
        <w:pStyle w:val="Heading2"/>
        <w:spacing w:before="360" w:after="200" w:line="276" w:lineRule="auto"/>
      </w:pPr>
      <w:r>
        <w:t>C. Homeowner-Caused Delays and Scope Changes</w:t>
      </w:r>
    </w:p>
    <w:p w14:paraId="20B11104" w14:textId="77777777" w:rsidR="00131A8E" w:rsidRDefault="00000000">
      <w:pPr>
        <w:spacing w:after="200" w:line="276" w:lineRule="auto"/>
      </w:pPr>
      <w:r>
        <w:rPr>
          <w:color w:val="1A1A1A"/>
        </w:rPr>
        <w:t>The project timeline was significantly impacted by multiple factors attributable to your decisions as the homeowner. Bella Kitchen wishes to document these factors because they directly contradict any potential claim that the project was unreasonably delayed or that the final cost is unjustified:</w:t>
      </w:r>
    </w:p>
    <w:p w14:paraId="43E68E62" w14:textId="77777777" w:rsidR="00131A8E" w:rsidRDefault="00000000">
      <w:pPr>
        <w:spacing w:after="200" w:line="276" w:lineRule="auto"/>
      </w:pPr>
      <w:r>
        <w:rPr>
          <w:b/>
          <w:bCs/>
          <w:color w:val="1A1A1A"/>
        </w:rPr>
        <w:t xml:space="preserve">1. Homeowner hired a separate concrete contractor (August 3, 2025): </w:t>
      </w:r>
      <w:r>
        <w:rPr>
          <w:color w:val="1A1A1A"/>
        </w:rPr>
        <w:t>You informed Bella Kitchen that you had decided to bring in a separate concrete contractor to perform concrete work on the project. This decision was not part of the original scope and required Bella Kitchen’s Project Manager Carlos to coordinate with this third-party contractor (referred to as “Joe”), who failed to return multiple phone calls.</w:t>
      </w:r>
    </w:p>
    <w:p w14:paraId="7EF12DD3" w14:textId="77777777" w:rsidR="00131A8E" w:rsidRDefault="00000000">
      <w:pPr>
        <w:spacing w:after="200" w:line="276" w:lineRule="auto"/>
      </w:pPr>
      <w:r>
        <w:rPr>
          <w:b/>
          <w:bCs/>
          <w:color w:val="1A1A1A"/>
        </w:rPr>
        <w:t xml:space="preserve">2. Design change from pavers-only to pavers-plus-turf: </w:t>
      </w:r>
      <w:r>
        <w:rPr>
          <w:color w:val="1A1A1A"/>
        </w:rPr>
        <w:t>The original design called for pavers installed over a compacted sand base. You subsequently changed the design to include pavers combined with artificial turf in a grid pattern, which required a concrete base rather than a sand base — fundamentally altering the installation method and requiring additional coordination with the separate concrete contractor.</w:t>
      </w:r>
    </w:p>
    <w:p w14:paraId="0577EAE5" w14:textId="77777777" w:rsidR="00131A8E" w:rsidRDefault="00000000">
      <w:pPr>
        <w:spacing w:after="200" w:line="276" w:lineRule="auto"/>
      </w:pPr>
      <w:r>
        <w:rPr>
          <w:b/>
          <w:bCs/>
          <w:color w:val="1A1A1A"/>
        </w:rPr>
        <w:t xml:space="preserve">3. Two-month construction delay (August 25 – October 20, 2025): </w:t>
      </w:r>
      <w:r>
        <w:rPr>
          <w:color w:val="1A1A1A"/>
        </w:rPr>
        <w:t xml:space="preserve">The concrete contractor’s work took approximately two months to complete. Because the concrete work directly affected Bella Kitchen’s installation areas — and because the concrete contractor removed linear drains that Bella Kitchen had already installed — our crew was unable to continue work during this </w:t>
      </w:r>
      <w:r>
        <w:rPr>
          <w:color w:val="1A1A1A"/>
        </w:rPr>
        <w:lastRenderedPageBreak/>
        <w:t>entire period. Despite this forced stoppage, Project Manager Carlos visited the site two to three times per week to monitor progress.</w:t>
      </w:r>
    </w:p>
    <w:p w14:paraId="647B149A" w14:textId="77777777" w:rsidR="00131A8E" w:rsidRDefault="00000000">
      <w:pPr>
        <w:spacing w:after="200" w:line="276" w:lineRule="auto"/>
      </w:pPr>
      <w:r>
        <w:rPr>
          <w:b/>
          <w:bCs/>
          <w:color w:val="1A1A1A"/>
        </w:rPr>
        <w:t xml:space="preserve">4. Material selection delays (3–4 weeks): </w:t>
      </w:r>
      <w:r>
        <w:rPr>
          <w:color w:val="1A1A1A"/>
        </w:rPr>
        <w:t>You had not finalized your selections for tile and pavers during the active construction period. Multiple meetings took place at both the property and Bella Kitchen’s showroom over a period of approximately three to four weeks while you evaluated different materials, colors, and layout options.</w:t>
      </w:r>
    </w:p>
    <w:p w14:paraId="60D247BD" w14:textId="77777777" w:rsidR="00131A8E" w:rsidRDefault="00000000">
      <w:pPr>
        <w:spacing w:after="200" w:line="276" w:lineRule="auto"/>
      </w:pPr>
      <w:r>
        <w:rPr>
          <w:b/>
          <w:bCs/>
          <w:color w:val="1A1A1A"/>
        </w:rPr>
        <w:t xml:space="preserve">5. Additional scope changes during installation: </w:t>
      </w:r>
      <w:r>
        <w:rPr>
          <w:color w:val="1A1A1A"/>
        </w:rPr>
        <w:t>During the installation phase, you made further changes including increasing the overall square footage of the project (from 600 to approximately 700 square feet of pavers), adding artificial turf rows between paver sections (not in original scope), adding new soil in planter areas (not in original scope), and adding black decorative pebbles in designated areas (not in original scope).</w:t>
      </w:r>
    </w:p>
    <w:p w14:paraId="7E16F7CC" w14:textId="77777777" w:rsidR="00131A8E" w:rsidRDefault="00000000">
      <w:pPr>
        <w:spacing w:after="200" w:line="276" w:lineRule="auto"/>
      </w:pPr>
      <w:r>
        <w:rPr>
          <w:b/>
          <w:bCs/>
          <w:color w:val="1A1A1A"/>
        </w:rPr>
        <w:t xml:space="preserve">6. Imperfect concrete surfaces requiring additional preparation: </w:t>
      </w:r>
      <w:r>
        <w:rPr>
          <w:color w:val="1A1A1A"/>
        </w:rPr>
        <w:t>The concrete work performed by the separate contractor you hired was not perfectly level or properly sloped in several areas. Bella Kitchen was required to perform additional leveling and slope adjustment work before the 48” x 48” large-format tile installation could proceed. This additional preparation required extra labor and materials that were not anticipated in the original scope.</w:t>
      </w:r>
    </w:p>
    <w:p w14:paraId="522D3AA7" w14:textId="77777777" w:rsidR="00131A8E" w:rsidRDefault="00000000">
      <w:pPr>
        <w:pStyle w:val="Heading2"/>
        <w:spacing w:before="360" w:after="200" w:line="276" w:lineRule="auto"/>
      </w:pPr>
      <w:r>
        <w:t>D. Communication Record</w:t>
      </w:r>
    </w:p>
    <w:p w14:paraId="2C3007F0" w14:textId="77777777" w:rsidR="00131A8E" w:rsidRDefault="00000000">
      <w:pPr>
        <w:spacing w:after="200" w:line="276" w:lineRule="auto"/>
      </w:pPr>
      <w:r>
        <w:rPr>
          <w:color w:val="1A1A1A"/>
        </w:rPr>
        <w:t>You have stated that Bella Kitchen’s Project Manager failed to communicate with you during the project. Our records demonstrate the opposite. Project Manager Carlos maintained consistent and frequent communication efforts throughout the entire project, including sending daily afternoon text messages informing you of the next day’s work schedule, making numerous phone calls (including on weekends) to answer questions and address concerns, and attempting to meet with you during site visits to review progress. On many occasions, when Carlos requested that you come outside to review work, he waited approximately 45 minutes or longer before you came out to meet.</w:t>
      </w:r>
    </w:p>
    <w:p w14:paraId="49AD51E9" w14:textId="77777777" w:rsidR="00131A8E" w:rsidRDefault="00000000">
      <w:pPr>
        <w:spacing w:after="200" w:line="276" w:lineRule="auto"/>
      </w:pPr>
      <w:r>
        <w:rPr>
          <w:color w:val="1A1A1A"/>
        </w:rPr>
        <w:t>Additionally, other contractors hired by you who were present on the site expressed that the work being performed by Bella Kitchen appeared to meet professional standards.</w:t>
      </w:r>
    </w:p>
    <w:p w14:paraId="40AB25E8" w14:textId="77777777" w:rsidR="00CE0C3F" w:rsidRDefault="00CE0C3F">
      <w:pPr>
        <w:rPr>
          <w:rFonts w:ascii="Arial" w:eastAsia="Arial" w:hAnsi="Arial" w:cs="Arial"/>
          <w:b/>
          <w:bCs/>
          <w:color w:val="1F4E79"/>
          <w:sz w:val="26"/>
          <w:szCs w:val="26"/>
        </w:rPr>
      </w:pPr>
      <w:r>
        <w:br w:type="page"/>
      </w:r>
    </w:p>
    <w:p w14:paraId="192C3BAD" w14:textId="3A433DEB" w:rsidR="00131A8E" w:rsidRDefault="00000000">
      <w:pPr>
        <w:pStyle w:val="Heading2"/>
        <w:spacing w:before="360" w:after="200" w:line="276" w:lineRule="auto"/>
      </w:pPr>
      <w:r>
        <w:lastRenderedPageBreak/>
        <w:t>E. Opportunity to Resolve Without Litigation</w:t>
      </w:r>
    </w:p>
    <w:p w14:paraId="50FA2221" w14:textId="77777777" w:rsidR="00131A8E" w:rsidRDefault="00000000">
      <w:pPr>
        <w:spacing w:after="200" w:line="276" w:lineRule="auto"/>
      </w:pPr>
      <w:r>
        <w:rPr>
          <w:color w:val="1A1A1A"/>
        </w:rPr>
        <w:t xml:space="preserve">Bella Kitchen values the personal relationship that led to this project and has no desire to pursue costly and time-consuming litigation if it can be avoided. We are extending this opportunity for you to resolve the outstanding balance </w:t>
      </w:r>
      <w:r>
        <w:rPr>
          <w:b/>
          <w:bCs/>
          <w:color w:val="1A1A1A"/>
        </w:rPr>
        <w:t>within thirty (30) days</w:t>
      </w:r>
      <w:r>
        <w:rPr>
          <w:color w:val="1A1A1A"/>
        </w:rPr>
        <w:t xml:space="preserve"> of your receipt of this letter.</w:t>
      </w:r>
    </w:p>
    <w:p w14:paraId="26FC345E" w14:textId="77777777" w:rsidR="00131A8E" w:rsidRDefault="00000000">
      <w:pPr>
        <w:spacing w:after="200" w:line="276" w:lineRule="auto"/>
      </w:pPr>
      <w:r>
        <w:rPr>
          <w:b/>
          <w:bCs/>
          <w:color w:val="1F4E79"/>
        </w:rPr>
        <w:t xml:space="preserve">Option 1 — Payment in Full: </w:t>
      </w:r>
      <w:r>
        <w:rPr>
          <w:color w:val="1A1A1A"/>
        </w:rPr>
        <w:t>Pay the outstanding balance of $47,613.80, plus accrued interest calculated at 10% per annum from the date payment became due. Upon receipt of full payment, Bella Kitchen will immediately file a Release of Mechanics’ Lien with the Orange County Clerk-Recorder’s Office, clearing the lien from your property title.</w:t>
      </w:r>
    </w:p>
    <w:p w14:paraId="3471AE99" w14:textId="77777777" w:rsidR="00131A8E" w:rsidRDefault="00000000">
      <w:pPr>
        <w:spacing w:after="200" w:line="276" w:lineRule="auto"/>
      </w:pPr>
      <w:r>
        <w:rPr>
          <w:b/>
          <w:bCs/>
          <w:color w:val="1F4E79"/>
        </w:rPr>
        <w:t xml:space="preserve">Option 2 — Structured Payment Plan: </w:t>
      </w:r>
      <w:r>
        <w:rPr>
          <w:color w:val="1A1A1A"/>
        </w:rPr>
        <w:t>If payment in full presents a hardship, Bella Kitchen is willing to discuss a reasonable payment plan secured by the existing mechanics’ lien, with payments to be completed within 90 days. Interest will continue to accrue on the unpaid balance.</w:t>
      </w:r>
    </w:p>
    <w:p w14:paraId="0844031F" w14:textId="77777777" w:rsidR="00131A8E" w:rsidRDefault="00000000">
      <w:pPr>
        <w:spacing w:after="200" w:line="276" w:lineRule="auto"/>
      </w:pPr>
      <w:r>
        <w:rPr>
          <w:b/>
          <w:bCs/>
          <w:color w:val="1F4E79"/>
        </w:rPr>
        <w:t xml:space="preserve">Option 3 — Negotiated Settlement: </w:t>
      </w:r>
      <w:r>
        <w:rPr>
          <w:color w:val="1A1A1A"/>
        </w:rPr>
        <w:t>If you dispute any portion of the amount owed, Bella Kitchen is willing to engage in good-faith discussions to resolve the dispute. Any such discussions must commence within the 30-day response period and be supported by specific, documented objections to specific line items.</w:t>
      </w:r>
    </w:p>
    <w:p w14:paraId="34386014" w14:textId="77777777" w:rsidR="00131A8E" w:rsidRDefault="00000000">
      <w:pPr>
        <w:spacing w:after="200" w:line="276" w:lineRule="auto"/>
      </w:pPr>
      <w:r>
        <w:rPr>
          <w:b/>
          <w:bCs/>
          <w:color w:val="1A1A1A"/>
        </w:rPr>
        <w:t>Failure to respond within 30 days will be treated as a refusal to pay, and Bella Kitchen will proceed with all available legal remedies without further notice.</w:t>
      </w:r>
    </w:p>
    <w:p w14:paraId="71CAB25C" w14:textId="77777777" w:rsidR="00131A8E" w:rsidRDefault="00000000">
      <w:pPr>
        <w:spacing w:line="276" w:lineRule="auto"/>
      </w:pPr>
      <w:r>
        <w:br w:type="page"/>
      </w:r>
    </w:p>
    <w:p w14:paraId="08295E20" w14:textId="77777777" w:rsidR="00131A8E" w:rsidRDefault="00000000">
      <w:pPr>
        <w:pStyle w:val="Heading1"/>
        <w:spacing w:line="276" w:lineRule="auto"/>
      </w:pPr>
      <w:r>
        <w:lastRenderedPageBreak/>
        <w:t>PART II: LEGAL ANALYSIS AND CONSEQUENCES OF NON-PAYMENT</w:t>
      </w:r>
    </w:p>
    <w:p w14:paraId="360C97EA" w14:textId="77777777" w:rsidR="00131A8E" w:rsidRDefault="00000000">
      <w:pPr>
        <w:spacing w:after="200" w:line="276" w:lineRule="auto"/>
      </w:pPr>
      <w:r>
        <w:rPr>
          <w:color w:val="1A1A1A"/>
        </w:rPr>
        <w:t>Should you fail to pay the amounts owed or reach a satisfactory resolution within the 30-day period specified above, Bella Kitchen will pursue every available legal remedy. The following analysis is provided so that you may make an informed decision about the costs, risks, and consequences of continued non-payment. As a Certified Public Accountant with litigation support experience, you are uniquely positioned to evaluate the economic irrationality of litigating this claim versus resolving it.</w:t>
      </w:r>
    </w:p>
    <w:p w14:paraId="1C2CBEE2" w14:textId="77777777" w:rsidR="00131A8E" w:rsidRDefault="00000000">
      <w:pPr>
        <w:pStyle w:val="Heading2"/>
        <w:spacing w:before="360" w:after="200" w:line="276" w:lineRule="auto"/>
      </w:pPr>
      <w:r>
        <w:t>A. Foreclosure of Mechanics’ Lien (Cal. Civ. Code §§8400–8494)</w:t>
      </w:r>
    </w:p>
    <w:p w14:paraId="7BA39387" w14:textId="77777777" w:rsidR="00131A8E" w:rsidRDefault="00000000">
      <w:pPr>
        <w:spacing w:after="200" w:line="276" w:lineRule="auto"/>
      </w:pPr>
      <w:r>
        <w:rPr>
          <w:color w:val="1A1A1A"/>
        </w:rPr>
        <w:t>Bella Kitchen has recorded a valid Mechanics’ Lien Claim against your property pursuant to California Civil Code Section 8416. Under Section 8460(a), Bella Kitchen has 90 days from the date of recording (until approximately May 24, 2026) to commence a foreclosure action in the Orange County Superior Court. This foreclosure action, if successful, results in a court-ordered forced sale of your property to satisfy the lien.</w:t>
      </w:r>
    </w:p>
    <w:p w14:paraId="4D5FA16C" w14:textId="77777777" w:rsidR="00131A8E" w:rsidRDefault="00000000">
      <w:pPr>
        <w:spacing w:after="200" w:line="276" w:lineRule="auto"/>
      </w:pPr>
      <w:r>
        <w:rPr>
          <w:color w:val="1A1A1A"/>
        </w:rPr>
        <w:t>Simultaneously with the filing of the foreclosure complaint, Bella Kitchen will record a Lis Pendens (Notice of Pending Action) against your property pursuant to California Code of Civil Procedure Section 405.20. A lis pendens provides constructive notice to all potential buyers, lenders, and title companies that a legal action affecting title to your property is pending. The practical effect is that you will be unable to sell, refinance, or borrow against the property until the litigation is resolved and the lis pendens is expunged.</w:t>
      </w:r>
    </w:p>
    <w:p w14:paraId="68C07DFB" w14:textId="77777777" w:rsidR="00131A8E" w:rsidRDefault="00000000">
      <w:pPr>
        <w:spacing w:after="200" w:line="276" w:lineRule="auto"/>
      </w:pPr>
      <w:r>
        <w:rPr>
          <w:b/>
          <w:bCs/>
          <w:color w:val="1A1A1A"/>
        </w:rPr>
        <w:t xml:space="preserve">Your property at 25191 Sea Vista Drive is estimated to be worth approximately $2,760,000. </w:t>
      </w:r>
      <w:r>
        <w:rPr>
          <w:color w:val="1A1A1A"/>
        </w:rPr>
        <w:t>The lien amount of $47,613.80 represents less than 2% of the property’s value. Nevertheless, the lis pendens will cloud title on the entire property, effectively freezing all equity transactions until this matter is resolved. For a property of this value in a premium coastal market, the inability to access equity or execute a sale represents a significant financial constraint that far exceeds the cost of simply paying the outstanding balance.</w:t>
      </w:r>
    </w:p>
    <w:p w14:paraId="3BADE68B" w14:textId="77777777" w:rsidR="00131A8E" w:rsidRDefault="00000000">
      <w:pPr>
        <w:pStyle w:val="Heading2"/>
        <w:spacing w:before="360" w:after="200" w:line="276" w:lineRule="auto"/>
      </w:pPr>
      <w:r>
        <w:t>B. Breach of Written Contract (CCP §337 — 4-Year Statute of Limitations)</w:t>
      </w:r>
    </w:p>
    <w:p w14:paraId="19722C9A" w14:textId="77777777" w:rsidR="00131A8E" w:rsidRDefault="00000000">
      <w:pPr>
        <w:spacing w:after="200" w:line="276" w:lineRule="auto"/>
      </w:pPr>
      <w:r>
        <w:rPr>
          <w:color w:val="1A1A1A"/>
        </w:rPr>
        <w:t>Independent of the mechanics’ lien, Bella Kitchen will assert a breach of written contract claim based on your failure to pay the contractually agreed-upon amounts for work performed and materials furnished. The contract was based on a time-and-materials arrangement with an estimated range of $75,000 to $85,000. The final invoice of $84,613.80 falls within this range. Your deposit of $37,000 constituted acceptance of the contract terms, and your ongoing direction of the work (including scope changes) constituted continued ratification.</w:t>
      </w:r>
    </w:p>
    <w:p w14:paraId="4C25DC12" w14:textId="77777777" w:rsidR="00131A8E" w:rsidRDefault="00000000">
      <w:pPr>
        <w:pStyle w:val="Heading2"/>
        <w:spacing w:before="360" w:after="200" w:line="276" w:lineRule="auto"/>
      </w:pPr>
      <w:r>
        <w:lastRenderedPageBreak/>
        <w:t>C. Quantum Meruit / Unjust Enrichment</w:t>
      </w:r>
    </w:p>
    <w:p w14:paraId="63788D5B" w14:textId="77777777" w:rsidR="00131A8E" w:rsidRDefault="00000000">
      <w:pPr>
        <w:spacing w:after="200" w:line="276" w:lineRule="auto"/>
      </w:pPr>
      <w:r>
        <w:rPr>
          <w:color w:val="1A1A1A"/>
        </w:rPr>
        <w:t>In the alternative, Bella Kitchen will assert claims for quantum meruit (reasonable value of services rendered) and unjust enrichment. The improvements performed by Bella Kitchen have permanently enhanced the value of your property. Your property currently benefits from professionally installed pavers, tile, drainage systems, gas lines, electrical conduits, irrigation systems, and an outdoor shower — all of which increase the property’s market value and functionality. To retain these improvements without paying for them would constitute unjust enrichment.</w:t>
      </w:r>
    </w:p>
    <w:p w14:paraId="22D3CEB3" w14:textId="77777777" w:rsidR="00131A8E" w:rsidRDefault="00000000">
      <w:pPr>
        <w:pStyle w:val="Heading2"/>
        <w:spacing w:before="360" w:after="200" w:line="276" w:lineRule="auto"/>
      </w:pPr>
      <w:r>
        <w:t>D. Open Book Account and Account Stated</w:t>
      </w:r>
    </w:p>
    <w:p w14:paraId="32AD7F6C" w14:textId="77777777" w:rsidR="00131A8E" w:rsidRDefault="00000000">
      <w:pPr>
        <w:spacing w:after="200" w:line="276" w:lineRule="auto"/>
      </w:pPr>
      <w:r>
        <w:rPr>
          <w:color w:val="1A1A1A"/>
        </w:rPr>
        <w:t>Bella Kitchen maintains detailed records of all labor, materials, and services furnished for your project, constituting an open book account under California law. The invoice was delivered to you, and your failure to object to the stated amounts within a reasonable time constitutes an account stated — an admission of the balance due.</w:t>
      </w:r>
    </w:p>
    <w:p w14:paraId="44FE1645" w14:textId="77777777" w:rsidR="00131A8E" w:rsidRDefault="00000000">
      <w:pPr>
        <w:pStyle w:val="Heading2"/>
        <w:spacing w:before="360" w:after="200" w:line="276" w:lineRule="auto"/>
      </w:pPr>
      <w:r>
        <w:t>E. Prompt Payment Violation (Cal. Civ. Code §8800)</w:t>
      </w:r>
    </w:p>
    <w:p w14:paraId="62A92C35" w14:textId="77777777" w:rsidR="00131A8E" w:rsidRDefault="00000000">
      <w:pPr>
        <w:spacing w:after="200" w:line="276" w:lineRule="auto"/>
      </w:pPr>
      <w:r>
        <w:rPr>
          <w:color w:val="1A1A1A"/>
        </w:rPr>
        <w:t xml:space="preserve">California Civil Code Section 8800 establishes prompt payment requirements for construction projects. Under subdivision (c), if a property owner “wrongfully withholds” payment due to a direct contractor, the owner is liable for a </w:t>
      </w:r>
      <w:r>
        <w:rPr>
          <w:b/>
          <w:bCs/>
          <w:color w:val="1A1A1A"/>
        </w:rPr>
        <w:t>penalty of 2% per month</w:t>
      </w:r>
      <w:r>
        <w:rPr>
          <w:color w:val="1A1A1A"/>
        </w:rPr>
        <w:t xml:space="preserve"> on the wrongfully withheld amount. This penalty operates </w:t>
      </w:r>
      <w:r>
        <w:rPr>
          <w:b/>
          <w:bCs/>
          <w:color w:val="1A1A1A"/>
        </w:rPr>
        <w:t>in addition to</w:t>
      </w:r>
      <w:r>
        <w:rPr>
          <w:color w:val="1A1A1A"/>
        </w:rPr>
        <w:t xml:space="preserve"> all other remedies and includes an award of </w:t>
      </w:r>
      <w:r>
        <w:rPr>
          <w:b/>
          <w:bCs/>
          <w:color w:val="1A1A1A"/>
        </w:rPr>
        <w:t>reasonable attorney fees to the prevailing party</w:t>
      </w:r>
      <w:r>
        <w:rPr>
          <w:color w:val="1A1A1A"/>
        </w:rPr>
        <w:t xml:space="preserve">. Applied to your outstanding balance of $47,613.80, this penalty accrues at approximately </w:t>
      </w:r>
      <w:r>
        <w:rPr>
          <w:b/>
          <w:bCs/>
          <w:color w:val="1A1A1A"/>
        </w:rPr>
        <w:t>$952.28 per month</w:t>
      </w:r>
      <w:r>
        <w:rPr>
          <w:color w:val="1A1A1A"/>
        </w:rPr>
        <w:t xml:space="preserve"> ($11,427.31 per year) — effectively a 24% annual penalty rate. This penalty is separate from, and in addition to, the 10% per annum statutory interest under Civil Code Section 3289.</w:t>
      </w:r>
    </w:p>
    <w:p w14:paraId="0F11D09D" w14:textId="77777777" w:rsidR="00131A8E" w:rsidRDefault="00000000">
      <w:pPr>
        <w:pStyle w:val="Heading2"/>
        <w:spacing w:before="360" w:after="200" w:line="276" w:lineRule="auto"/>
      </w:pPr>
      <w:r>
        <w:t>F. Interest and Penalty Calculations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2580"/>
        <w:gridCol w:w="2580"/>
      </w:tblGrid>
      <w:tr w:rsidR="00131A8E" w14:paraId="0DBD5929"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397CC4F8" w14:textId="77777777" w:rsidR="00131A8E" w:rsidRDefault="00000000">
            <w:pPr>
              <w:spacing w:line="276" w:lineRule="auto"/>
            </w:pPr>
            <w:r>
              <w:rPr>
                <w:b/>
                <w:bCs/>
                <w:color w:val="1A1A1A"/>
                <w:sz w:val="22"/>
                <w:szCs w:val="22"/>
              </w:rPr>
              <w:t>Component</w:t>
            </w:r>
          </w:p>
        </w:tc>
        <w:tc>
          <w:tcPr>
            <w:tcW w:w="25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029D1ED6" w14:textId="77777777" w:rsidR="00131A8E" w:rsidRDefault="00000000">
            <w:pPr>
              <w:spacing w:line="276" w:lineRule="auto"/>
              <w:jc w:val="center"/>
            </w:pPr>
            <w:r>
              <w:rPr>
                <w:b/>
                <w:bCs/>
                <w:color w:val="1A1A1A"/>
                <w:sz w:val="22"/>
                <w:szCs w:val="22"/>
              </w:rPr>
              <w:t>Rate</w:t>
            </w:r>
          </w:p>
        </w:tc>
        <w:tc>
          <w:tcPr>
            <w:tcW w:w="258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60B4A8D2" w14:textId="77777777" w:rsidR="00131A8E" w:rsidRDefault="00000000">
            <w:pPr>
              <w:spacing w:line="276" w:lineRule="auto"/>
              <w:jc w:val="right"/>
            </w:pPr>
            <w:r>
              <w:rPr>
                <w:b/>
                <w:bCs/>
                <w:color w:val="1A1A1A"/>
                <w:sz w:val="22"/>
                <w:szCs w:val="22"/>
              </w:rPr>
              <w:t>Amount</w:t>
            </w:r>
          </w:p>
        </w:tc>
      </w:tr>
      <w:tr w:rsidR="00131A8E" w14:paraId="12276918"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122E58" w14:textId="77777777" w:rsidR="00131A8E" w:rsidRDefault="00000000">
            <w:pPr>
              <w:spacing w:line="276" w:lineRule="auto"/>
            </w:pPr>
            <w:r>
              <w:rPr>
                <w:color w:val="1A1A1A"/>
                <w:sz w:val="22"/>
                <w:szCs w:val="22"/>
              </w:rPr>
              <w:t>Principal balance</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88C581" w14:textId="77777777" w:rsidR="00131A8E" w:rsidRDefault="00000000">
            <w:pPr>
              <w:spacing w:line="276" w:lineRule="auto"/>
              <w:jc w:val="center"/>
            </w:pPr>
            <w:r>
              <w:rPr>
                <w:color w:val="1A1A1A"/>
                <w:sz w:val="22"/>
                <w:szCs w:val="22"/>
              </w:rPr>
              <w:t>—</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0DB00A" w14:textId="77777777" w:rsidR="00131A8E" w:rsidRDefault="00000000">
            <w:pPr>
              <w:spacing w:line="276" w:lineRule="auto"/>
              <w:jc w:val="right"/>
            </w:pPr>
            <w:r>
              <w:rPr>
                <w:color w:val="1A1A1A"/>
                <w:sz w:val="22"/>
                <w:szCs w:val="22"/>
              </w:rPr>
              <w:t>$47,613.80</w:t>
            </w:r>
          </w:p>
        </w:tc>
      </w:tr>
      <w:tr w:rsidR="00131A8E" w14:paraId="75064F66"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F78222" w14:textId="77777777" w:rsidR="00131A8E" w:rsidRDefault="00000000">
            <w:pPr>
              <w:spacing w:line="276" w:lineRule="auto"/>
            </w:pPr>
            <w:r>
              <w:rPr>
                <w:color w:val="1A1A1A"/>
                <w:sz w:val="22"/>
                <w:szCs w:val="22"/>
              </w:rPr>
              <w:t>Statutory interest (§3289, 10%/yr)</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47FF9D" w14:textId="77777777" w:rsidR="00131A8E" w:rsidRDefault="00000000">
            <w:pPr>
              <w:spacing w:line="276" w:lineRule="auto"/>
              <w:jc w:val="center"/>
            </w:pPr>
            <w:r>
              <w:rPr>
                <w:color w:val="1A1A1A"/>
                <w:sz w:val="22"/>
                <w:szCs w:val="22"/>
              </w:rPr>
              <w:t>$13.04/day</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25D26B" w14:textId="77777777" w:rsidR="00131A8E" w:rsidRDefault="00000000">
            <w:pPr>
              <w:spacing w:line="276" w:lineRule="auto"/>
              <w:jc w:val="right"/>
            </w:pPr>
            <w:r>
              <w:rPr>
                <w:color w:val="1A1A1A"/>
                <w:sz w:val="22"/>
                <w:szCs w:val="22"/>
              </w:rPr>
              <w:t>Accruing</w:t>
            </w:r>
          </w:p>
        </w:tc>
      </w:tr>
      <w:tr w:rsidR="00131A8E" w14:paraId="1347F706"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20F7EA" w14:textId="77777777" w:rsidR="00131A8E" w:rsidRDefault="00000000">
            <w:pPr>
              <w:spacing w:line="276" w:lineRule="auto"/>
            </w:pPr>
            <w:r>
              <w:rPr>
                <w:color w:val="1A1A1A"/>
                <w:sz w:val="22"/>
                <w:szCs w:val="22"/>
              </w:rPr>
              <w:t>Prompt-payment penalty (§8800, 2%/mo)</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D3893A" w14:textId="77777777" w:rsidR="00131A8E" w:rsidRDefault="00000000">
            <w:pPr>
              <w:spacing w:line="276" w:lineRule="auto"/>
              <w:jc w:val="center"/>
            </w:pPr>
            <w:r>
              <w:rPr>
                <w:color w:val="1A1A1A"/>
                <w:sz w:val="22"/>
                <w:szCs w:val="22"/>
              </w:rPr>
              <w:t>$952.28/mo</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4438E8" w14:textId="77777777" w:rsidR="00131A8E" w:rsidRDefault="00000000">
            <w:pPr>
              <w:spacing w:line="276" w:lineRule="auto"/>
              <w:jc w:val="right"/>
            </w:pPr>
            <w:r>
              <w:rPr>
                <w:color w:val="1A1A1A"/>
                <w:sz w:val="22"/>
                <w:szCs w:val="22"/>
              </w:rPr>
              <w:t>Accruing</w:t>
            </w:r>
          </w:p>
        </w:tc>
      </w:tr>
      <w:tr w:rsidR="00131A8E" w14:paraId="5D04CF6F"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DC5362" w14:textId="77777777" w:rsidR="00131A8E" w:rsidRDefault="00000000">
            <w:pPr>
              <w:spacing w:line="276" w:lineRule="auto"/>
            </w:pPr>
            <w:r>
              <w:rPr>
                <w:color w:val="1A1A1A"/>
                <w:sz w:val="22"/>
                <w:szCs w:val="22"/>
              </w:rPr>
              <w:t>Lien recording costs</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77A4E8" w14:textId="77777777" w:rsidR="00131A8E" w:rsidRDefault="00000000">
            <w:pPr>
              <w:spacing w:line="276" w:lineRule="auto"/>
              <w:jc w:val="center"/>
            </w:pPr>
            <w:r>
              <w:rPr>
                <w:color w:val="1A1A1A"/>
                <w:sz w:val="22"/>
                <w:szCs w:val="22"/>
              </w:rPr>
              <w:t>—</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FE04A3" w14:textId="77777777" w:rsidR="00131A8E" w:rsidRDefault="00000000">
            <w:pPr>
              <w:spacing w:line="276" w:lineRule="auto"/>
              <w:jc w:val="right"/>
            </w:pPr>
            <w:r>
              <w:rPr>
                <w:color w:val="1A1A1A"/>
                <w:sz w:val="22"/>
                <w:szCs w:val="22"/>
              </w:rPr>
              <w:t>$103.00</w:t>
            </w:r>
          </w:p>
        </w:tc>
      </w:tr>
      <w:tr w:rsidR="00131A8E" w14:paraId="34B46A85"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96C20C" w14:textId="77777777" w:rsidR="00131A8E" w:rsidRDefault="00000000">
            <w:pPr>
              <w:spacing w:line="276" w:lineRule="auto"/>
            </w:pPr>
            <w:r>
              <w:rPr>
                <w:color w:val="1A1A1A"/>
                <w:sz w:val="22"/>
                <w:szCs w:val="22"/>
              </w:rPr>
              <w:t>Court filing fee (if filed)</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9F0F57" w14:textId="77777777" w:rsidR="00131A8E" w:rsidRDefault="00000000">
            <w:pPr>
              <w:spacing w:line="276" w:lineRule="auto"/>
              <w:jc w:val="center"/>
            </w:pPr>
            <w:r>
              <w:rPr>
                <w:color w:val="1A1A1A"/>
                <w:sz w:val="22"/>
                <w:szCs w:val="22"/>
              </w:rPr>
              <w:t>—</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1C534D" w14:textId="77777777" w:rsidR="00131A8E" w:rsidRDefault="00000000">
            <w:pPr>
              <w:spacing w:line="276" w:lineRule="auto"/>
              <w:jc w:val="right"/>
            </w:pPr>
            <w:r>
              <w:rPr>
                <w:color w:val="1A1A1A"/>
                <w:sz w:val="22"/>
                <w:szCs w:val="22"/>
              </w:rPr>
              <w:t>$435.00</w:t>
            </w:r>
          </w:p>
        </w:tc>
      </w:tr>
      <w:tr w:rsidR="00131A8E" w14:paraId="64C8BA8C"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6736FA" w14:textId="77777777" w:rsidR="00131A8E" w:rsidRDefault="00000000">
            <w:pPr>
              <w:spacing w:line="276" w:lineRule="auto"/>
            </w:pPr>
            <w:r>
              <w:rPr>
                <w:color w:val="1A1A1A"/>
                <w:sz w:val="22"/>
                <w:szCs w:val="22"/>
              </w:rPr>
              <w:t>Service of process (estimated)</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B4D34F" w14:textId="77777777" w:rsidR="00131A8E" w:rsidRDefault="00000000">
            <w:pPr>
              <w:spacing w:line="276" w:lineRule="auto"/>
              <w:jc w:val="center"/>
            </w:pPr>
            <w:r>
              <w:rPr>
                <w:color w:val="1A1A1A"/>
                <w:sz w:val="22"/>
                <w:szCs w:val="22"/>
              </w:rPr>
              <w:t>—</w:t>
            </w:r>
          </w:p>
        </w:tc>
        <w:tc>
          <w:tcPr>
            <w:tcW w:w="25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1B6A46" w14:textId="77777777" w:rsidR="00131A8E" w:rsidRDefault="00000000">
            <w:pPr>
              <w:spacing w:line="276" w:lineRule="auto"/>
              <w:jc w:val="right"/>
            </w:pPr>
            <w:r>
              <w:rPr>
                <w:color w:val="1A1A1A"/>
                <w:sz w:val="22"/>
                <w:szCs w:val="22"/>
              </w:rPr>
              <w:t>$150.00</w:t>
            </w:r>
          </w:p>
        </w:tc>
      </w:tr>
      <w:tr w:rsidR="00131A8E" w14:paraId="5D3F85BD" w14:textId="77777777">
        <w:tblPrEx>
          <w:tblCellMar>
            <w:top w:w="0" w:type="dxa"/>
            <w:bottom w:w="0" w:type="dxa"/>
          </w:tblCellMar>
        </w:tblPrEx>
        <w:tc>
          <w:tcPr>
            <w:tcW w:w="420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03A972C4" w14:textId="77777777" w:rsidR="00131A8E" w:rsidRDefault="00000000">
            <w:pPr>
              <w:spacing w:line="276" w:lineRule="auto"/>
            </w:pPr>
            <w:r>
              <w:rPr>
                <w:b/>
                <w:bCs/>
                <w:color w:val="8B0000"/>
                <w:sz w:val="20"/>
              </w:rPr>
              <w:t>TOTAL EXPOSURE (conservative, as of filing)</w:t>
            </w:r>
          </w:p>
        </w:tc>
        <w:tc>
          <w:tcPr>
            <w:tcW w:w="25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16A47DE1" w14:textId="77777777" w:rsidR="00131A8E" w:rsidRDefault="00131A8E">
            <w:pPr>
              <w:spacing w:line="276" w:lineRule="auto"/>
            </w:pPr>
          </w:p>
        </w:tc>
        <w:tc>
          <w:tcPr>
            <w:tcW w:w="25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3F7DEED0" w14:textId="77777777" w:rsidR="00131A8E" w:rsidRDefault="00000000">
            <w:pPr>
              <w:spacing w:line="276" w:lineRule="auto"/>
            </w:pPr>
            <w:r>
              <w:rPr>
                <w:b/>
                <w:bCs/>
                <w:color w:val="8B0000"/>
                <w:sz w:val="20"/>
              </w:rPr>
              <w:t>$50,000+</w:t>
            </w:r>
          </w:p>
        </w:tc>
      </w:tr>
    </w:tbl>
    <w:p w14:paraId="68FA9E3E" w14:textId="77777777" w:rsidR="00131A8E" w:rsidRDefault="00131A8E">
      <w:pPr>
        <w:spacing w:after="100" w:line="276" w:lineRule="auto"/>
      </w:pPr>
    </w:p>
    <w:p w14:paraId="719590A7" w14:textId="77777777" w:rsidR="00131A8E" w:rsidRDefault="00000000">
      <w:pPr>
        <w:spacing w:after="200" w:line="276" w:lineRule="auto"/>
      </w:pPr>
      <w:r>
        <w:rPr>
          <w:color w:val="1A1A1A"/>
        </w:rPr>
        <w:t xml:space="preserve">Every day that passes without resolution increases your total exposure. The combined interest and penalty accrual rate is approximately </w:t>
      </w:r>
      <w:r>
        <w:rPr>
          <w:b/>
          <w:bCs/>
          <w:color w:val="1A1A1A"/>
        </w:rPr>
        <w:t>$44.78 per day</w:t>
      </w:r>
      <w:r>
        <w:rPr>
          <w:color w:val="1A1A1A"/>
        </w:rPr>
        <w:t xml:space="preserve"> ($13.04 statutory interest + $31.74 daily prompt-payment penalty). Over the course of a 12-month litigation period, this would add approximately </w:t>
      </w:r>
      <w:r>
        <w:rPr>
          <w:b/>
          <w:bCs/>
          <w:color w:val="1A1A1A"/>
        </w:rPr>
        <w:t>$16,346</w:t>
      </w:r>
      <w:r>
        <w:rPr>
          <w:color w:val="1A1A1A"/>
        </w:rPr>
        <w:t xml:space="preserve"> to the principal balance — increasing your total exposure to over $64,000 before attorney fees.</w:t>
      </w:r>
    </w:p>
    <w:p w14:paraId="11DB5899" w14:textId="77777777" w:rsidR="00131A8E" w:rsidRDefault="00000000">
      <w:pPr>
        <w:pStyle w:val="Heading2"/>
        <w:spacing w:before="360" w:after="200" w:line="276" w:lineRule="auto"/>
      </w:pPr>
      <w:r>
        <w:t>G. Cost-Benefit Analysis: Settlement vs. Litigation</w:t>
      </w:r>
    </w:p>
    <w:p w14:paraId="26E297B6" w14:textId="77777777" w:rsidR="00131A8E" w:rsidRDefault="00000000">
      <w:pPr>
        <w:spacing w:after="200" w:line="276" w:lineRule="auto"/>
      </w:pPr>
      <w:r>
        <w:rPr>
          <w:color w:val="1A1A1A"/>
        </w:rPr>
        <w:t>As a CPA with litigation support expertise, you are well-positioned to evaluate the following cost-benefit analysis: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31A8E" w14:paraId="402D4D3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5DE2E873" w14:textId="77777777" w:rsidR="00131A8E" w:rsidRDefault="00000000">
            <w:pPr>
              <w:spacing w:line="276" w:lineRule="auto"/>
            </w:pPr>
            <w:r>
              <w:rPr>
                <w:b/>
                <w:bCs/>
                <w:color w:val="006600"/>
                <w:sz w:val="20"/>
              </w:rPr>
              <w:t>Settle Now</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64FC5A9E" w14:textId="77777777" w:rsidR="00131A8E" w:rsidRDefault="00000000">
            <w:pPr>
              <w:spacing w:line="276" w:lineRule="auto"/>
            </w:pPr>
            <w:r>
              <w:rPr>
                <w:b/>
                <w:bCs/>
                <w:color w:val="8B0000"/>
                <w:sz w:val="20"/>
              </w:rPr>
              <w:t>Litigate to Judgment</w:t>
            </w:r>
          </w:p>
        </w:tc>
      </w:tr>
      <w:tr w:rsidR="00131A8E" w14:paraId="65A5A7E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F9284E" w14:textId="77777777" w:rsidR="00131A8E" w:rsidRDefault="00000000">
            <w:pPr>
              <w:spacing w:line="276" w:lineRule="auto"/>
            </w:pPr>
            <w:r>
              <w:rPr>
                <w:color w:val="1A1A1A"/>
                <w:sz w:val="22"/>
                <w:szCs w:val="22"/>
              </w:rPr>
              <w:t>Pay $47,613.80 + interest</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8BF794" w14:textId="77777777" w:rsidR="00131A8E" w:rsidRDefault="00000000">
            <w:pPr>
              <w:spacing w:line="276" w:lineRule="auto"/>
            </w:pPr>
            <w:r>
              <w:rPr>
                <w:color w:val="1A1A1A"/>
                <w:sz w:val="22"/>
                <w:szCs w:val="22"/>
              </w:rPr>
              <w:t>Principal: $47,613.80</w:t>
            </w:r>
          </w:p>
        </w:tc>
      </w:tr>
      <w:tr w:rsidR="00131A8E" w14:paraId="6614987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283406" w14:textId="77777777" w:rsidR="00131A8E" w:rsidRDefault="00000000">
            <w:pPr>
              <w:spacing w:line="276" w:lineRule="auto"/>
            </w:pPr>
            <w:r>
              <w:rPr>
                <w:color w:val="1A1A1A"/>
                <w:sz w:val="22"/>
                <w:szCs w:val="22"/>
              </w:rPr>
              <w:t>Lien released within 5 business days</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60867F" w14:textId="77777777" w:rsidR="00131A8E" w:rsidRDefault="00000000">
            <w:pPr>
              <w:spacing w:line="276" w:lineRule="auto"/>
            </w:pPr>
            <w:r>
              <w:rPr>
                <w:color w:val="1A1A1A"/>
                <w:sz w:val="22"/>
                <w:szCs w:val="22"/>
              </w:rPr>
              <w:t>+ Interest/penalties: $16,000–$20,000</w:t>
            </w:r>
          </w:p>
        </w:tc>
      </w:tr>
      <w:tr w:rsidR="00131A8E" w14:paraId="3CCCC26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290CE1" w14:textId="77777777" w:rsidR="00131A8E" w:rsidRDefault="00000000">
            <w:pPr>
              <w:spacing w:line="276" w:lineRule="auto"/>
            </w:pPr>
            <w:r>
              <w:rPr>
                <w:color w:val="1A1A1A"/>
                <w:sz w:val="22"/>
                <w:szCs w:val="22"/>
              </w:rPr>
              <w:t>No attorney fees incurred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DFE7CF" w14:textId="77777777" w:rsidR="00131A8E" w:rsidRDefault="00000000">
            <w:pPr>
              <w:spacing w:line="276" w:lineRule="auto"/>
            </w:pPr>
            <w:r>
              <w:rPr>
                <w:color w:val="1A1A1A"/>
                <w:sz w:val="22"/>
                <w:szCs w:val="22"/>
              </w:rPr>
              <w:t>+ Your attorney fees: $15,000–$30,000</w:t>
            </w:r>
          </w:p>
        </w:tc>
      </w:tr>
      <w:tr w:rsidR="00131A8E" w14:paraId="31DB091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4A8080" w14:textId="77777777" w:rsidR="00131A8E" w:rsidRDefault="00000000">
            <w:pPr>
              <w:spacing w:line="276" w:lineRule="auto"/>
            </w:pPr>
            <w:r>
              <w:rPr>
                <w:color w:val="1A1A1A"/>
                <w:sz w:val="22"/>
                <w:szCs w:val="22"/>
              </w:rPr>
              <w:t>No public court record</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305FE1" w14:textId="77777777" w:rsidR="00131A8E" w:rsidRDefault="00000000">
            <w:pPr>
              <w:spacing w:line="276" w:lineRule="auto"/>
            </w:pPr>
            <w:r>
              <w:rPr>
                <w:color w:val="1A1A1A"/>
                <w:sz w:val="22"/>
                <w:szCs w:val="22"/>
              </w:rPr>
              <w:t>+ Bella Kitchen’s attorney fees (if awarded)</w:t>
            </w:r>
          </w:p>
        </w:tc>
      </w:tr>
      <w:tr w:rsidR="00131A8E" w14:paraId="64E8537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F9773A" w14:textId="77777777" w:rsidR="00131A8E" w:rsidRDefault="00000000">
            <w:pPr>
              <w:spacing w:line="276" w:lineRule="auto"/>
            </w:pPr>
            <w:r>
              <w:rPr>
                <w:color w:val="1A1A1A"/>
                <w:sz w:val="22"/>
                <w:szCs w:val="22"/>
              </w:rPr>
              <w:t>No lis pendens on title</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5FAFCF" w14:textId="77777777" w:rsidR="00131A8E" w:rsidRDefault="00000000">
            <w:pPr>
              <w:spacing w:line="276" w:lineRule="auto"/>
            </w:pPr>
            <w:r>
              <w:rPr>
                <w:color w:val="1A1A1A"/>
                <w:sz w:val="22"/>
                <w:szCs w:val="22"/>
              </w:rPr>
              <w:t>+ Court costs: $1,500–$3,000</w:t>
            </w:r>
          </w:p>
        </w:tc>
      </w:tr>
      <w:tr w:rsidR="00131A8E" w14:paraId="1C6D731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D6F012" w14:textId="77777777" w:rsidR="00131A8E" w:rsidRDefault="00000000">
            <w:pPr>
              <w:spacing w:line="276" w:lineRule="auto"/>
            </w:pPr>
            <w:r>
              <w:rPr>
                <w:color w:val="1A1A1A"/>
                <w:sz w:val="22"/>
                <w:szCs w:val="22"/>
              </w:rPr>
              <w:t>Property remains fully marketable</w:t>
            </w:r>
          </w:p>
        </w:tc>
        <w:tc>
          <w:tcPr>
            <w:tcW w:w="468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C4B556" w14:textId="77777777" w:rsidR="00131A8E" w:rsidRDefault="00000000">
            <w:pPr>
              <w:spacing w:line="276" w:lineRule="auto"/>
            </w:pPr>
            <w:r>
              <w:rPr>
                <w:color w:val="1A1A1A"/>
                <w:sz w:val="22"/>
                <w:szCs w:val="22"/>
              </w:rPr>
              <w:t>Lis pendens clouds title 12–24 months</w:t>
            </w:r>
          </w:p>
        </w:tc>
      </w:tr>
      <w:tr w:rsidR="00131A8E" w14:paraId="714E0C3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F5E9"/>
            <w:tcMar>
              <w:top w:w="60" w:type="dxa"/>
              <w:left w:w="100" w:type="dxa"/>
              <w:bottom w:w="60" w:type="dxa"/>
              <w:right w:w="100" w:type="dxa"/>
            </w:tcMar>
          </w:tcPr>
          <w:p w14:paraId="2DE43050" w14:textId="77777777" w:rsidR="00131A8E" w:rsidRDefault="00000000">
            <w:pPr>
              <w:spacing w:line="276" w:lineRule="auto"/>
            </w:pPr>
            <w:r>
              <w:rPr>
                <w:b/>
                <w:bCs/>
                <w:color w:val="006600"/>
                <w:sz w:val="20"/>
              </w:rPr>
              <w:t>Total cost: ~$48,000–$50,000</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60" w:type="dxa"/>
              <w:left w:w="100" w:type="dxa"/>
              <w:bottom w:w="60" w:type="dxa"/>
              <w:right w:w="100" w:type="dxa"/>
            </w:tcMar>
          </w:tcPr>
          <w:p w14:paraId="261E3E70" w14:textId="77777777" w:rsidR="00131A8E" w:rsidRDefault="00000000">
            <w:pPr>
              <w:spacing w:line="276" w:lineRule="auto"/>
            </w:pPr>
            <w:r>
              <w:rPr>
                <w:b/>
                <w:bCs/>
                <w:color w:val="8B0000"/>
                <w:sz w:val="20"/>
              </w:rPr>
              <w:t>Total exposure: $80,000–$100,000+</w:t>
            </w:r>
          </w:p>
        </w:tc>
      </w:tr>
    </w:tbl>
    <w:p w14:paraId="5A370599" w14:textId="77777777" w:rsidR="00131A8E" w:rsidRDefault="00131A8E">
      <w:pPr>
        <w:spacing w:after="100" w:line="276" w:lineRule="auto"/>
      </w:pPr>
    </w:p>
    <w:p w14:paraId="0BDEAF34" w14:textId="77777777" w:rsidR="00131A8E" w:rsidRDefault="00000000">
      <w:pPr>
        <w:pStyle w:val="Heading2"/>
        <w:spacing w:before="360" w:after="200" w:line="276" w:lineRule="auto"/>
      </w:pPr>
      <w:r>
        <w:t>H. Additional Consequences of Litigation</w:t>
      </w:r>
    </w:p>
    <w:p w14:paraId="78F41197" w14:textId="77777777" w:rsidR="00131A8E" w:rsidRDefault="00000000">
      <w:pPr>
        <w:spacing w:after="200" w:line="276" w:lineRule="auto"/>
      </w:pPr>
      <w:r>
        <w:rPr>
          <w:b/>
          <w:bCs/>
          <w:color w:val="1A1A1A"/>
        </w:rPr>
        <w:t xml:space="preserve">1. Lis Pendens: </w:t>
      </w:r>
      <w:r>
        <w:rPr>
          <w:color w:val="1A1A1A"/>
        </w:rPr>
        <w:t>The recording of a lis pendens against your property will appear in title searches, MLS records, and public records databases. Any potential buyer, lender, or title insurer will discover the pending action, effectively rendering the property unmarketable until the litigation concludes. For a property valued at approximately $2,760,000 in the Dana Point coastal market, this represents a substantial impediment to any equity transaction.</w:t>
      </w:r>
    </w:p>
    <w:p w14:paraId="4653B46F" w14:textId="77777777" w:rsidR="00131A8E" w:rsidRDefault="00000000">
      <w:pPr>
        <w:spacing w:after="200" w:line="276" w:lineRule="auto"/>
      </w:pPr>
      <w:r>
        <w:rPr>
          <w:b/>
          <w:bCs/>
          <w:color w:val="1A1A1A"/>
        </w:rPr>
        <w:t xml:space="preserve">2. Public Court Record: </w:t>
      </w:r>
      <w:r>
        <w:rPr>
          <w:color w:val="1A1A1A"/>
        </w:rPr>
        <w:t>The complaint, lis pendens, and all associated filings will be part of the Orange County Superior Court’s public record, accessible through the court’s online case access system and commercial litigation databases.</w:t>
      </w:r>
    </w:p>
    <w:p w14:paraId="143DD36E" w14:textId="77777777" w:rsidR="00131A8E" w:rsidRDefault="00000000">
      <w:pPr>
        <w:spacing w:after="200" w:line="276" w:lineRule="auto"/>
      </w:pPr>
      <w:r>
        <w:rPr>
          <w:b/>
          <w:bCs/>
          <w:color w:val="1A1A1A"/>
        </w:rPr>
        <w:t xml:space="preserve">3. Discovery Obligations: </w:t>
      </w:r>
      <w:r>
        <w:rPr>
          <w:color w:val="1A1A1A"/>
        </w:rPr>
        <w:t xml:space="preserve">If the case proceeds beyond the initial pleading stage, Bella Kitchen will serve comprehensive written discovery including Requests for Admission, Special Interrogatories, Requests for Production of Documents, and Deposition Notices. Requests for Admission are particularly significant under California law: if you fail to respond within 30 days, </w:t>
      </w:r>
      <w:r>
        <w:rPr>
          <w:color w:val="1A1A1A"/>
        </w:rPr>
        <w:lastRenderedPageBreak/>
        <w:t xml:space="preserve">every matter in the request is </w:t>
      </w:r>
      <w:r>
        <w:rPr>
          <w:b/>
          <w:bCs/>
          <w:color w:val="1A1A1A"/>
        </w:rPr>
        <w:t>deemed admitted</w:t>
      </w:r>
      <w:r>
        <w:rPr>
          <w:color w:val="1A1A1A"/>
        </w:rPr>
        <w:t xml:space="preserve"> as a matter of law (CCP §2033.280). Deemed admissions can effectively resolve the case in Bella Kitchen’s favor without trial.</w:t>
      </w:r>
    </w:p>
    <w:p w14:paraId="22E4D2EB" w14:textId="77777777" w:rsidR="00131A8E" w:rsidRDefault="00000000">
      <w:pPr>
        <w:spacing w:after="200" w:line="276" w:lineRule="auto"/>
      </w:pPr>
      <w:r>
        <w:rPr>
          <w:b/>
          <w:bCs/>
          <w:color w:val="1A1A1A"/>
        </w:rPr>
        <w:t xml:space="preserve">4. Judgment and Enforcement: </w:t>
      </w:r>
      <w:r>
        <w:rPr>
          <w:color w:val="1A1A1A"/>
        </w:rPr>
        <w:t>A judgment in Bella Kitchen’s favor would be enforceable through all available collection remedies, including but not limited to: levy on bank accounts, garnishment of earnings, recording of an abstract of judgment (creating a judgment lien on all real property owned in any California county), and ultimately foreclosure and forced sale of the property.</w:t>
      </w:r>
    </w:p>
    <w:p w14:paraId="3F7C3E70" w14:textId="77777777" w:rsidR="00131A8E" w:rsidRDefault="00000000">
      <w:pPr>
        <w:spacing w:after="200" w:line="276" w:lineRule="auto"/>
      </w:pPr>
      <w:r>
        <w:rPr>
          <w:b/>
          <w:bCs/>
          <w:color w:val="1A1A1A"/>
        </w:rPr>
        <w:t xml:space="preserve">5. Anti-SLAPP Protection: </w:t>
      </w:r>
      <w:r>
        <w:rPr>
          <w:color w:val="1A1A1A"/>
        </w:rPr>
        <w:t>Should you file any counterclaim based on the recording of the mechanics’ lien (such as slander of title or abuse of process), California courts have consistently held that recording a mechanics’ lien constitutes protected prelitigation activity under the anti-SLAPP statute (CCP §425.16). Bella Kitchen would file an anti-SLAPP motion, and if successful, you would be liable for Bella Kitchen’s attorney fees in defending against the counterclaim.</w:t>
      </w:r>
    </w:p>
    <w:p w14:paraId="1C7429F4" w14:textId="77777777" w:rsidR="00131A8E" w:rsidRDefault="00000000">
      <w:pPr>
        <w:pStyle w:val="Heading1"/>
        <w:spacing w:line="276" w:lineRule="auto"/>
      </w:pPr>
      <w:r>
        <w:t>DEMAND</w:t>
      </w:r>
    </w:p>
    <w:p w14:paraId="2F7A3242" w14:textId="77777777" w:rsidR="00131A8E" w:rsidRDefault="00000000">
      <w:pPr>
        <w:spacing w:after="200" w:line="276" w:lineRule="auto"/>
      </w:pPr>
      <w:r>
        <w:rPr>
          <w:color w:val="1A1A1A"/>
        </w:rPr>
        <w:t xml:space="preserve">Based on the foregoing, Bella Kitchen, Bath &amp; Flooring, Inc. hereby demands payment of the full outstanding balance of </w:t>
      </w:r>
      <w:r>
        <w:rPr>
          <w:b/>
          <w:bCs/>
          <w:color w:val="1A1A1A"/>
        </w:rPr>
        <w:t>FORTY-SEVEN THOUSAND SIX HUNDRED THIRTEEN DOLLARS AND EIGHTY CENTS ($47,613.80)</w:t>
      </w:r>
      <w:r>
        <w:rPr>
          <w:color w:val="1A1A1A"/>
        </w:rPr>
        <w:t xml:space="preserve">, plus all accrued statutory interest and prompt-payment penalties, within </w:t>
      </w:r>
      <w:r>
        <w:rPr>
          <w:b/>
          <w:bCs/>
          <w:color w:val="1A1A1A"/>
        </w:rPr>
        <w:t>THIRTY (30) DAYS</w:t>
      </w:r>
      <w:r>
        <w:rPr>
          <w:color w:val="1A1A1A"/>
        </w:rPr>
        <w:t xml:space="preserve"> of your receipt of this letter.</w:t>
      </w:r>
    </w:p>
    <w:p w14:paraId="7DE6E5CA" w14:textId="77777777" w:rsidR="00131A8E" w:rsidRDefault="00000000">
      <w:pPr>
        <w:spacing w:after="200" w:line="276" w:lineRule="auto"/>
      </w:pPr>
      <w:r>
        <w:rPr>
          <w:color w:val="1A1A1A"/>
        </w:rPr>
        <w:t>Payment should be made by cashier’s check or certified funds, payable to “Bella Kitchen, Bath &amp; Flooring, Inc.” and delivered to 24166 Alicia Parkway, Mission Viejo, CA 92691.</w:t>
      </w:r>
    </w:p>
    <w:p w14:paraId="1E0A7218" w14:textId="77777777" w:rsidR="00131A8E" w:rsidRDefault="00000000">
      <w:pPr>
        <w:spacing w:after="200" w:line="276" w:lineRule="auto"/>
      </w:pPr>
      <w:r>
        <w:rPr>
          <w:color w:val="1A1A1A"/>
        </w:rPr>
        <w:t>If payment is not received within the specified period, Bella Kitchen will, without further notice: (1) file a Verified Complaint for Foreclosure of Mechanics’ Lien in the Orange County Superior Court; (2) record a Lis Pendens against your property; (3) seek all available damages including the principal balance, statutory interest, prompt-payment penalties, court costs, and any applicable attorney fees; and (4) pursue all other available legal remedies.</w:t>
      </w:r>
    </w:p>
    <w:p w14:paraId="11C7B200" w14:textId="77777777" w:rsidR="00131A8E" w:rsidRDefault="00000000">
      <w:pPr>
        <w:spacing w:after="200" w:line="276" w:lineRule="auto"/>
      </w:pPr>
      <w:r>
        <w:rPr>
          <w:color w:val="1A1A1A"/>
        </w:rPr>
        <w:t>This letter is written without prejudice to any rights or remedies of Bella Kitchen, Bath &amp; Flooring, Inc., all of which are expressly reserved.</w:t>
      </w:r>
    </w:p>
    <w:p w14:paraId="35047514" w14:textId="77777777" w:rsidR="00131A8E" w:rsidRDefault="00131A8E">
      <w:pPr>
        <w:spacing w:after="200" w:line="276" w:lineRule="auto"/>
      </w:pPr>
    </w:p>
    <w:p w14:paraId="070C5A42" w14:textId="77777777" w:rsidR="00131A8E" w:rsidRDefault="00000000">
      <w:pPr>
        <w:spacing w:after="400" w:line="276" w:lineRule="auto"/>
      </w:pPr>
      <w:r>
        <w:rPr>
          <w:color w:val="1A1A1A"/>
        </w:rPr>
        <w:t>Respectfully,</w:t>
      </w:r>
    </w:p>
    <w:p w14:paraId="7FEF4F38" w14:textId="77777777" w:rsidR="00131A8E" w:rsidRDefault="00000000">
      <w:pPr>
        <w:spacing w:after="40" w:line="276" w:lineRule="auto"/>
      </w:pPr>
      <w:r>
        <w:rPr>
          <w:color w:val="1A1A1A"/>
        </w:rPr>
        <w:t>_________________________________________</w:t>
      </w:r>
    </w:p>
    <w:p w14:paraId="1ABF0EDB" w14:textId="77777777" w:rsidR="00131A8E" w:rsidRDefault="00000000">
      <w:pPr>
        <w:keepNext/>
        <w:spacing w:after="20" w:line="276" w:lineRule="auto"/>
      </w:pPr>
      <w:r>
        <w:rPr>
          <w:b/>
          <w:bCs/>
          <w:color w:val="1A1A1A"/>
        </w:rPr>
        <w:t>Mark Hamilton</w:t>
      </w:r>
    </w:p>
    <w:p w14:paraId="2EA9B69C" w14:textId="77777777" w:rsidR="00131A8E" w:rsidRDefault="00000000">
      <w:pPr>
        <w:spacing w:after="20" w:line="276" w:lineRule="auto"/>
      </w:pPr>
      <w:r>
        <w:rPr>
          <w:color w:val="1A1A1A"/>
        </w:rPr>
        <w:t>Owner / CEO</w:t>
      </w:r>
    </w:p>
    <w:p w14:paraId="3FCF4A5A" w14:textId="77777777" w:rsidR="00131A8E" w:rsidRDefault="00000000">
      <w:pPr>
        <w:spacing w:after="20" w:line="276" w:lineRule="auto"/>
      </w:pPr>
      <w:r>
        <w:rPr>
          <w:color w:val="1A1A1A"/>
        </w:rPr>
        <w:t>Bella Kitchen, Bath &amp; Flooring, Inc.</w:t>
      </w:r>
    </w:p>
    <w:p w14:paraId="0E6423B5" w14:textId="77777777" w:rsidR="00131A8E" w:rsidRDefault="00000000">
      <w:pPr>
        <w:spacing w:after="20" w:line="276" w:lineRule="auto"/>
      </w:pPr>
      <w:r>
        <w:rPr>
          <w:color w:val="1A1A1A"/>
        </w:rPr>
        <w:lastRenderedPageBreak/>
        <w:t>CSLB License #1120002</w:t>
      </w:r>
    </w:p>
    <w:p w14:paraId="32BA9565" w14:textId="77777777" w:rsidR="00131A8E" w:rsidRDefault="00000000">
      <w:pPr>
        <w:spacing w:after="20" w:line="276" w:lineRule="auto"/>
      </w:pPr>
      <w:r>
        <w:rPr>
          <w:color w:val="1A1A1A"/>
        </w:rPr>
        <w:t>24166 Alicia Parkway, Mission Viejo, CA 92691</w:t>
      </w:r>
    </w:p>
    <w:p w14:paraId="3B0217D6" w14:textId="77777777" w:rsidR="00131A8E" w:rsidRDefault="00000000">
      <w:pPr>
        <w:spacing w:after="20" w:line="276" w:lineRule="auto"/>
      </w:pPr>
      <w:r>
        <w:rPr>
          <w:color w:val="1A1A1A"/>
        </w:rPr>
        <w:t>(949) 597-8453</w:t>
      </w:r>
    </w:p>
    <w:p w14:paraId="5A5945E8" w14:textId="77777777" w:rsidR="00131A8E" w:rsidRDefault="00000000">
      <w:pPr>
        <w:spacing w:after="200" w:line="276" w:lineRule="auto"/>
      </w:pPr>
      <w:r>
        <w:rPr>
          <w:color w:val="1A1A1A"/>
        </w:rPr>
        <w:t>info@bellaknb.com</w:t>
      </w:r>
    </w:p>
    <w:p w14:paraId="2DDBB4F7" w14:textId="77777777" w:rsidR="00131A8E" w:rsidRDefault="00000000">
      <w:pPr>
        <w:keepNext/>
        <w:pBdr>
          <w:top w:val="single" w:sz="2" w:space="4" w:color="1F4E79"/>
        </w:pBdr>
        <w:spacing w:before="200" w:after="100" w:line="276" w:lineRule="auto"/>
      </w:pPr>
      <w:r>
        <w:rPr>
          <w:b/>
          <w:bCs/>
          <w:color w:val="1A1A1A"/>
          <w:sz w:val="22"/>
          <w:szCs w:val="22"/>
        </w:rPr>
        <w:t>ENCLOSURES:</w:t>
      </w:r>
    </w:p>
    <w:p w14:paraId="60BA3FD8" w14:textId="77777777" w:rsidR="00131A8E" w:rsidRDefault="00000000">
      <w:pPr>
        <w:spacing w:after="40" w:line="276" w:lineRule="auto"/>
      </w:pPr>
      <w:r>
        <w:rPr>
          <w:color w:val="1A1A1A"/>
          <w:sz w:val="22"/>
          <w:szCs w:val="22"/>
        </w:rPr>
        <w:t>1. Copy of Recorded Mechanics’ Lien Claim (Orange County Official Records, 02/23/2026)</w:t>
      </w:r>
    </w:p>
    <w:p w14:paraId="643032AF" w14:textId="77777777" w:rsidR="00131A8E" w:rsidRDefault="00000000">
      <w:pPr>
        <w:spacing w:after="40" w:line="276" w:lineRule="auto"/>
      </w:pPr>
      <w:r>
        <w:rPr>
          <w:color w:val="1A1A1A"/>
          <w:sz w:val="22"/>
          <w:szCs w:val="22"/>
        </w:rPr>
        <w:t>2. Invoice #33217 with Itemized Statement of Account</w:t>
      </w:r>
    </w:p>
    <w:p w14:paraId="28154F06" w14:textId="77777777" w:rsidR="00131A8E" w:rsidRDefault="00000000">
      <w:pPr>
        <w:spacing w:after="40" w:line="276" w:lineRule="auto"/>
      </w:pPr>
      <w:r>
        <w:rPr>
          <w:color w:val="1A1A1A"/>
          <w:sz w:val="22"/>
          <w:szCs w:val="22"/>
        </w:rPr>
        <w:t>3. Line-Item Quotation (Project Scope, dated 07/31/2025)</w:t>
      </w:r>
    </w:p>
    <w:p w14:paraId="54855ECA" w14:textId="77777777" w:rsidR="00131A8E" w:rsidRDefault="00000000">
      <w:pPr>
        <w:spacing w:after="40" w:line="276" w:lineRule="auto"/>
      </w:pPr>
      <w:r>
        <w:rPr>
          <w:color w:val="1A1A1A"/>
          <w:sz w:val="22"/>
          <w:szCs w:val="22"/>
        </w:rPr>
        <w:t>4. Change Order (Invoice #33217)</w:t>
      </w:r>
    </w:p>
    <w:p w14:paraId="1B923B69" w14:textId="77777777" w:rsidR="00131A8E" w:rsidRDefault="00000000">
      <w:pPr>
        <w:spacing w:after="40" w:line="276" w:lineRule="auto"/>
      </w:pPr>
      <w:r>
        <w:rPr>
          <w:color w:val="1A1A1A"/>
          <w:sz w:val="22"/>
          <w:szCs w:val="22"/>
        </w:rPr>
        <w:t>5. Copy of CSLB License #1120002 (Active Status)</w:t>
      </w:r>
    </w:p>
    <w:p w14:paraId="53FDDE52" w14:textId="77777777" w:rsidR="00131A8E" w:rsidRDefault="00000000">
      <w:pPr>
        <w:spacing w:after="40" w:line="276" w:lineRule="auto"/>
      </w:pPr>
      <w:r>
        <w:rPr>
          <w:color w:val="1A1A1A"/>
          <w:sz w:val="22"/>
          <w:szCs w:val="22"/>
        </w:rPr>
        <w:t>6. Proof of Service Affidavit (Cal. Civ. Code §8416(a)(7))</w:t>
      </w:r>
    </w:p>
    <w:p w14:paraId="4D46CBF3" w14:textId="77777777" w:rsidR="00131A8E" w:rsidRDefault="00131A8E">
      <w:pPr>
        <w:spacing w:after="100" w:line="276" w:lineRule="auto"/>
      </w:pPr>
    </w:p>
    <w:p w14:paraId="300B1327" w14:textId="77777777" w:rsidR="00131A8E" w:rsidRDefault="00000000">
      <w:pPr>
        <w:spacing w:line="276" w:lineRule="auto"/>
      </w:pPr>
      <w:r>
        <w:rPr>
          <w:i/>
          <w:iCs/>
          <w:color w:val="666666"/>
          <w:sz w:val="20"/>
          <w:szCs w:val="20"/>
        </w:rPr>
        <w:t>cc: File</w:t>
      </w:r>
    </w:p>
    <w:sectPr w:rsidR="00131A8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C439" w14:textId="77777777" w:rsidR="008B253A" w:rsidRDefault="008B253A">
      <w:r>
        <w:separator/>
      </w:r>
    </w:p>
  </w:endnote>
  <w:endnote w:type="continuationSeparator" w:id="0">
    <w:p w14:paraId="24BD78D3" w14:textId="77777777" w:rsidR="008B253A" w:rsidRDefault="008B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A01D" w14:textId="77777777" w:rsidR="00131A8E" w:rsidRDefault="00000000">
    <w:pPr>
      <w:pBdr>
        <w:top w:val="single" w:sz="1" w:space="4" w:color="1F4E79"/>
      </w:pBdr>
      <w:jc w:val="center"/>
    </w:pPr>
    <w:r>
      <w:rPr>
        <w:rFonts w:ascii="Arial" w:eastAsia="Arial" w:hAnsi="Arial" w:cs="Arial"/>
        <w:color w:val="666666"/>
        <w:sz w:val="16"/>
        <w:szCs w:val="16"/>
      </w:rPr>
      <w:t>CONFIDENTIAL — SETTLEMENT COMMUNICATION</w:t>
    </w:r>
  </w:p>
  <w:p w14:paraId="62DA7E81" w14:textId="77777777" w:rsidR="00131A8E" w:rsidRDefault="00000000">
    <w:pPr>
      <w:jc w:val="center"/>
    </w:pPr>
    <w:r>
      <w:rPr>
        <w:rFonts w:ascii="Arial" w:eastAsia="Arial" w:hAnsi="Arial" w:cs="Arial"/>
        <w:color w:val="666666"/>
        <w:sz w:val="16"/>
        <w:szCs w:val="16"/>
      </w:rPr>
      <w:t xml:space="preserve">Page </w:t>
    </w:r>
    <w:r>
      <w:rPr>
        <w:rFonts w:ascii="Arial" w:eastAsia="Arial" w:hAnsi="Arial" w:cs="Arial"/>
        <w:color w:val="666666"/>
        <w:sz w:val="16"/>
        <w:szCs w:val="16"/>
      </w:rPr>
      <w:fldChar w:fldCharType="begin"/>
    </w:r>
    <w:r>
      <w:rPr>
        <w:rFonts w:ascii="Arial" w:eastAsia="Arial" w:hAnsi="Arial" w:cs="Arial"/>
        <w:color w:val="666666"/>
        <w:sz w:val="16"/>
        <w:szCs w:val="16"/>
      </w:rPr>
      <w:instrText>PAGE</w:instrText>
    </w:r>
    <w:r>
      <w:rPr>
        <w:rFonts w:ascii="Arial" w:eastAsia="Arial" w:hAnsi="Arial" w:cs="Arial"/>
        <w:color w:val="666666"/>
        <w:sz w:val="16"/>
        <w:szCs w:val="16"/>
      </w:rPr>
      <w:fldChar w:fldCharType="separate"/>
    </w:r>
    <w:r w:rsidR="00CE0C3F">
      <w:rPr>
        <w:rFonts w:ascii="Arial" w:eastAsia="Arial" w:hAnsi="Arial" w:cs="Arial"/>
        <w:noProof/>
        <w:color w:val="666666"/>
        <w:sz w:val="16"/>
        <w:szCs w:val="16"/>
      </w:rPr>
      <w:t>1</w:t>
    </w:r>
    <w:r>
      <w:rPr>
        <w:rFonts w:ascii="Arial" w:eastAsia="Arial" w:hAnsi="Arial" w:cs="Arial"/>
        <w:color w:val="666666"/>
        <w:sz w:val="16"/>
        <w:szCs w:val="16"/>
      </w:rPr>
      <w:fldChar w:fldCharType="end"/>
    </w:r>
    <w:r>
      <w:rPr>
        <w:rFonts w:ascii="Arial" w:eastAsia="Arial" w:hAnsi="Arial" w:cs="Arial"/>
        <w:color w:val="666666"/>
        <w:sz w:val="16"/>
        <w:szCs w:val="16"/>
      </w:rPr>
      <w:t xml:space="preserve"> of </w:t>
    </w:r>
    <w:r>
      <w:rPr>
        <w:rFonts w:ascii="Arial" w:eastAsia="Arial" w:hAnsi="Arial" w:cs="Arial"/>
        <w:color w:val="666666"/>
        <w:sz w:val="16"/>
        <w:szCs w:val="16"/>
      </w:rPr>
      <w:fldChar w:fldCharType="begin"/>
    </w:r>
    <w:r>
      <w:rPr>
        <w:rFonts w:ascii="Arial" w:eastAsia="Arial" w:hAnsi="Arial" w:cs="Arial"/>
        <w:color w:val="666666"/>
        <w:sz w:val="16"/>
        <w:szCs w:val="16"/>
      </w:rPr>
      <w:instrText>NUMPAGES</w:instrText>
    </w:r>
    <w:r>
      <w:rPr>
        <w:rFonts w:ascii="Arial" w:eastAsia="Arial" w:hAnsi="Arial" w:cs="Arial"/>
        <w:color w:val="666666"/>
        <w:sz w:val="16"/>
        <w:szCs w:val="16"/>
      </w:rPr>
      <w:fldChar w:fldCharType="separate"/>
    </w:r>
    <w:r w:rsidR="00CE0C3F">
      <w:rPr>
        <w:rFonts w:ascii="Arial" w:eastAsia="Arial" w:hAnsi="Arial" w:cs="Arial"/>
        <w:noProof/>
        <w:color w:val="666666"/>
        <w:sz w:val="16"/>
        <w:szCs w:val="16"/>
      </w:rPr>
      <w:t>2</w:t>
    </w:r>
    <w:r>
      <w:rPr>
        <w:rFonts w:ascii="Arial" w:eastAsia="Arial" w:hAnsi="Arial" w:cs="Arial"/>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6369" w14:textId="77777777" w:rsidR="008B253A" w:rsidRDefault="008B253A">
      <w:r>
        <w:separator/>
      </w:r>
    </w:p>
  </w:footnote>
  <w:footnote w:type="continuationSeparator" w:id="0">
    <w:p w14:paraId="0B7AAC4F" w14:textId="77777777" w:rsidR="008B253A" w:rsidRDefault="008B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375" w14:textId="77777777" w:rsidR="00131A8E" w:rsidRDefault="00000000">
    <w:pPr>
      <w:jc w:val="right"/>
    </w:pPr>
    <w:r>
      <w:rPr>
        <w:rFonts w:ascii="Arial" w:eastAsia="Arial" w:hAnsi="Arial" w:cs="Arial"/>
        <w:i/>
        <w:iCs/>
        <w:color w:val="666666"/>
        <w:sz w:val="16"/>
        <w:szCs w:val="16"/>
      </w:rPr>
      <w:t>Bella Kitchen v. Allen — Formal Demand for Payment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53AC0"/>
    <w:multiLevelType w:val="hybridMultilevel"/>
    <w:tmpl w:val="1FCC5AC4"/>
    <w:lvl w:ilvl="0" w:tplc="64C44A54">
      <w:start w:val="1"/>
      <w:numFmt w:val="bullet"/>
      <w:lvlText w:val="●"/>
      <w:lvlJc w:val="left"/>
      <w:pPr>
        <w:ind w:left="720" w:hanging="360"/>
      </w:pPr>
    </w:lvl>
    <w:lvl w:ilvl="1" w:tplc="F7A2BB16">
      <w:start w:val="1"/>
      <w:numFmt w:val="bullet"/>
      <w:lvlText w:val="○"/>
      <w:lvlJc w:val="left"/>
      <w:pPr>
        <w:ind w:left="1440" w:hanging="360"/>
      </w:pPr>
    </w:lvl>
    <w:lvl w:ilvl="2" w:tplc="E4FA0AFA">
      <w:start w:val="1"/>
      <w:numFmt w:val="bullet"/>
      <w:lvlText w:val="■"/>
      <w:lvlJc w:val="left"/>
      <w:pPr>
        <w:ind w:left="2160" w:hanging="360"/>
      </w:pPr>
    </w:lvl>
    <w:lvl w:ilvl="3" w:tplc="7A8CCB50">
      <w:start w:val="1"/>
      <w:numFmt w:val="bullet"/>
      <w:lvlText w:val="●"/>
      <w:lvlJc w:val="left"/>
      <w:pPr>
        <w:ind w:left="2880" w:hanging="360"/>
      </w:pPr>
    </w:lvl>
    <w:lvl w:ilvl="4" w:tplc="6756B6EC">
      <w:start w:val="1"/>
      <w:numFmt w:val="bullet"/>
      <w:lvlText w:val="○"/>
      <w:lvlJc w:val="left"/>
      <w:pPr>
        <w:ind w:left="3600" w:hanging="360"/>
      </w:pPr>
    </w:lvl>
    <w:lvl w:ilvl="5" w:tplc="11868A50">
      <w:start w:val="1"/>
      <w:numFmt w:val="bullet"/>
      <w:lvlText w:val="■"/>
      <w:lvlJc w:val="left"/>
      <w:pPr>
        <w:ind w:left="4320" w:hanging="360"/>
      </w:pPr>
    </w:lvl>
    <w:lvl w:ilvl="6" w:tplc="B1A0D160">
      <w:start w:val="1"/>
      <w:numFmt w:val="bullet"/>
      <w:lvlText w:val="●"/>
      <w:lvlJc w:val="left"/>
      <w:pPr>
        <w:ind w:left="5040" w:hanging="360"/>
      </w:pPr>
    </w:lvl>
    <w:lvl w:ilvl="7" w:tplc="EAE017EC">
      <w:start w:val="1"/>
      <w:numFmt w:val="bullet"/>
      <w:lvlText w:val="●"/>
      <w:lvlJc w:val="left"/>
      <w:pPr>
        <w:ind w:left="5760" w:hanging="360"/>
      </w:pPr>
    </w:lvl>
    <w:lvl w:ilvl="8" w:tplc="F7EE26BE">
      <w:start w:val="1"/>
      <w:numFmt w:val="bullet"/>
      <w:lvlText w:val="●"/>
      <w:lvlJc w:val="left"/>
      <w:pPr>
        <w:ind w:left="6480" w:hanging="360"/>
      </w:pPr>
    </w:lvl>
  </w:abstractNum>
  <w:num w:numId="1" w16cid:durableId="178157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8E"/>
    <w:rsid w:val="00131A8E"/>
    <w:rsid w:val="008B253A"/>
    <w:rsid w:val="00BD200C"/>
    <w:rsid w:val="00CE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5B369"/>
  <w15:docId w15:val="{DDA3E8A8-F33A-404F-8747-C5DCBA6B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360" w:after="200"/>
      <w:outlineLvl w:val="0"/>
    </w:pPr>
    <w:rPr>
      <w:rFonts w:ascii="Arial" w:eastAsia="Arial" w:hAnsi="Arial" w:cs="Arial"/>
      <w:b/>
      <w:bCs/>
      <w:color w:val="1F4E79"/>
      <w:sz w:val="28"/>
      <w:szCs w:val="28"/>
    </w:rPr>
  </w:style>
  <w:style w:type="paragraph" w:styleId="Heading2">
    <w:name w:val="heading 2"/>
    <w:uiPriority w:val="9"/>
    <w:unhideWhenUsed/>
    <w:qFormat/>
    <w:pPr>
      <w:keepNext/>
      <w:spacing w:before="240" w:after="160"/>
      <w:outlineLvl w:val="1"/>
    </w:pPr>
    <w:rPr>
      <w:rFonts w:ascii="Arial" w:eastAsia="Arial" w:hAnsi="Arial" w:cs="Arial"/>
      <w:b/>
      <w:bCs/>
      <w:color w:val="1F4E79"/>
      <w:sz w:val="26"/>
      <w:szCs w:val="26"/>
    </w:rPr>
  </w:style>
  <w:style w:type="paragraph" w:styleId="Heading3">
    <w:name w:val="heading 3"/>
    <w:uiPriority w:val="9"/>
    <w:semiHidden/>
    <w:unhideWhenUsed/>
    <w:qFormat/>
    <w:pPr>
      <w:keepNext/>
      <w:outlineLvl w:val="2"/>
    </w:pPr>
    <w:rPr>
      <w:color w:val="1F4D78"/>
    </w:rPr>
  </w:style>
  <w:style w:type="paragraph" w:styleId="Heading4">
    <w:name w:val="heading 4"/>
    <w:uiPriority w:val="9"/>
    <w:semiHidden/>
    <w:unhideWhenUsed/>
    <w:qFormat/>
    <w:pPr>
      <w:keepNext/>
      <w:outlineLvl w:val="3"/>
    </w:pPr>
    <w:rPr>
      <w:i/>
      <w:iCs/>
      <w:color w:val="2E74B5"/>
    </w:rPr>
  </w:style>
  <w:style w:type="paragraph" w:styleId="Heading5">
    <w:name w:val="heading 5"/>
    <w:uiPriority w:val="9"/>
    <w:semiHidden/>
    <w:unhideWhenUsed/>
    <w:qFormat/>
    <w:pPr>
      <w:keepNext/>
      <w:outlineLvl w:val="4"/>
    </w:pPr>
    <w:rPr>
      <w:color w:val="2E74B5"/>
    </w:rPr>
  </w:style>
  <w:style w:type="paragraph" w:styleId="Heading6">
    <w:name w:val="heading 6"/>
    <w:uiPriority w:val="9"/>
    <w:semiHidden/>
    <w:unhideWhenUsed/>
    <w:qFormat/>
    <w:pPr>
      <w:keepNext/>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2784</Words>
  <Characters>15953</Characters>
  <Application>Microsoft Office Word</Application>
  <DocSecurity>0</DocSecurity>
  <Lines>371</Lines>
  <Paragraphs>256</Paragraphs>
  <ScaleCrop>false</ScaleCrop>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Carter Hill</cp:lastModifiedBy>
  <cp:revision>2</cp:revision>
  <dcterms:created xsi:type="dcterms:W3CDTF">2026-03-30T20:47:00Z</dcterms:created>
  <dcterms:modified xsi:type="dcterms:W3CDTF">2026-03-31T03:38:00Z</dcterms:modified>
</cp:coreProperties>
</file>